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05B" w:rsidRDefault="00E81E84">
      <w:pPr>
        <w:spacing w:after="262" w:line="260" w:lineRule="auto"/>
        <w:ind w:left="6946"/>
      </w:pPr>
      <w:r>
        <w:rPr>
          <w:rFonts w:ascii="Times New Roman" w:eastAsia="Times New Roman" w:hAnsi="Times New Roman" w:cs="Times New Roman"/>
          <w:sz w:val="16"/>
        </w:rPr>
        <w:t xml:space="preserve">Załącznik do ustawy z dnia 20 maja 2021 r. (Dz. U. z 2024 r. poz. 695) </w:t>
      </w:r>
    </w:p>
    <w:p w:rsidR="001C505B" w:rsidRDefault="00E81E84">
      <w:pPr>
        <w:spacing w:after="179"/>
        <w:ind w:left="49"/>
        <w:jc w:val="center"/>
      </w:pPr>
      <w:r>
        <w:rPr>
          <w:rFonts w:ascii="Times New Roman" w:eastAsia="Times New Roman" w:hAnsi="Times New Roman" w:cs="Times New Roman"/>
          <w:i/>
          <w:sz w:val="20"/>
        </w:rPr>
        <w:t xml:space="preserve"> </w:t>
      </w:r>
    </w:p>
    <w:p w:rsidR="001C505B" w:rsidRDefault="00E81E84">
      <w:pPr>
        <w:spacing w:after="179"/>
        <w:jc w:val="center"/>
      </w:pPr>
      <w:r>
        <w:rPr>
          <w:rFonts w:ascii="Times New Roman" w:eastAsia="Times New Roman" w:hAnsi="Times New Roman" w:cs="Times New Roman"/>
          <w:i/>
          <w:sz w:val="20"/>
        </w:rPr>
        <w:t xml:space="preserve">WZÓR </w:t>
      </w:r>
    </w:p>
    <w:p w:rsidR="001C505B" w:rsidRDefault="00E81E84">
      <w:pPr>
        <w:spacing w:after="0"/>
      </w:pPr>
      <w:r>
        <w:rPr>
          <w:rFonts w:ascii="Times New Roman" w:eastAsia="Times New Roman" w:hAnsi="Times New Roman" w:cs="Times New Roman"/>
          <w:b/>
          <w:sz w:val="20"/>
        </w:rPr>
        <w:t xml:space="preserve">Stan na dzień sporządzenia prospektu informacyjnego </w:t>
      </w:r>
    </w:p>
    <w:p w:rsidR="001C505B" w:rsidRDefault="00E81E84">
      <w:pPr>
        <w:spacing w:after="0" w:line="239" w:lineRule="auto"/>
        <w:ind w:left="7081" w:right="1418"/>
      </w:pPr>
      <w:r>
        <w:rPr>
          <w:rFonts w:ascii="Times New Roman" w:eastAsia="Times New Roman" w:hAnsi="Times New Roman" w:cs="Times New Roman"/>
          <w:sz w:val="18"/>
        </w:rPr>
        <w:t xml:space="preserve">Data  sporządzenia </w:t>
      </w:r>
    </w:p>
    <w:p w:rsidR="001C505B" w:rsidRDefault="00E81E84">
      <w:pPr>
        <w:spacing w:after="0"/>
        <w:ind w:left="7081"/>
      </w:pPr>
      <w:r>
        <w:rPr>
          <w:rFonts w:ascii="Times New Roman" w:eastAsia="Times New Roman" w:hAnsi="Times New Roman" w:cs="Times New Roman"/>
          <w:sz w:val="18"/>
        </w:rPr>
        <w:t xml:space="preserve">prospektu </w:t>
      </w:r>
    </w:p>
    <w:p w:rsidR="001C505B" w:rsidRDefault="00E81E84">
      <w:pPr>
        <w:spacing w:after="144"/>
        <w:ind w:left="44"/>
        <w:jc w:val="center"/>
      </w:pPr>
      <w:r>
        <w:rPr>
          <w:rFonts w:ascii="Times New Roman" w:eastAsia="Times New Roman" w:hAnsi="Times New Roman" w:cs="Times New Roman"/>
          <w:b/>
          <w:sz w:val="18"/>
        </w:rPr>
        <w:t xml:space="preserve"> </w:t>
      </w:r>
    </w:p>
    <w:p w:rsidR="001C505B" w:rsidRDefault="00E81E84">
      <w:pPr>
        <w:pStyle w:val="Nagwek1"/>
        <w:spacing w:after="124"/>
        <w:ind w:left="1"/>
      </w:pPr>
      <w:r>
        <w:t xml:space="preserve">PROSPEKT INFORMACYJNY </w:t>
      </w:r>
    </w:p>
    <w:p w:rsidR="001C505B" w:rsidRDefault="00E81E84">
      <w:pPr>
        <w:spacing w:after="162" w:line="265" w:lineRule="auto"/>
        <w:ind w:left="10" w:hanging="10"/>
      </w:pPr>
      <w:r>
        <w:rPr>
          <w:rFonts w:ascii="Times New Roman" w:eastAsia="Times New Roman" w:hAnsi="Times New Roman" w:cs="Times New Roman"/>
          <w:b/>
          <w:sz w:val="20"/>
        </w:rPr>
        <w:t xml:space="preserve">CZĘŚĆ OGÓLNA </w:t>
      </w:r>
    </w:p>
    <w:p w:rsidR="001C505B" w:rsidRDefault="00E81E84">
      <w:pPr>
        <w:numPr>
          <w:ilvl w:val="0"/>
          <w:numId w:val="1"/>
        </w:numPr>
        <w:spacing w:after="0" w:line="265" w:lineRule="auto"/>
        <w:ind w:hanging="720"/>
      </w:pPr>
      <w:r>
        <w:rPr>
          <w:rFonts w:ascii="Times New Roman" w:eastAsia="Times New Roman" w:hAnsi="Times New Roman" w:cs="Times New Roman"/>
          <w:b/>
          <w:sz w:val="20"/>
        </w:rPr>
        <w:t xml:space="preserve">DANE IDENTYFIKACYJNE I KONTAKTOWE DOTYCZĄCE DEWELOPERA </w:t>
      </w:r>
    </w:p>
    <w:tbl>
      <w:tblPr>
        <w:tblStyle w:val="TableGrid"/>
        <w:tblW w:w="9647" w:type="dxa"/>
        <w:tblInd w:w="110" w:type="dxa"/>
        <w:tblCellMar>
          <w:top w:w="197" w:type="dxa"/>
          <w:left w:w="107" w:type="dxa"/>
          <w:right w:w="59" w:type="dxa"/>
        </w:tblCellMar>
        <w:tblLook w:val="04A0"/>
      </w:tblPr>
      <w:tblGrid>
        <w:gridCol w:w="2986"/>
        <w:gridCol w:w="3242"/>
        <w:gridCol w:w="3419"/>
      </w:tblGrid>
      <w:tr w:rsidR="001C505B">
        <w:trPr>
          <w:trHeight w:val="901"/>
        </w:trPr>
        <w:tc>
          <w:tcPr>
            <w:tcW w:w="2986" w:type="dxa"/>
            <w:tcBorders>
              <w:top w:val="single" w:sz="4" w:space="0" w:color="000000"/>
              <w:left w:val="single" w:sz="4" w:space="0" w:color="000000"/>
              <w:bottom w:val="single" w:sz="4" w:space="0" w:color="000000"/>
              <w:right w:val="nil"/>
            </w:tcBorders>
            <w:shd w:val="clear" w:color="auto" w:fill="E0E0E0"/>
            <w:vAlign w:val="center"/>
          </w:tcPr>
          <w:p w:rsidR="001C505B" w:rsidRDefault="00E81E84">
            <w:pPr>
              <w:spacing w:after="124"/>
            </w:pPr>
            <w:r>
              <w:rPr>
                <w:rFonts w:ascii="Times New Roman" w:eastAsia="Times New Roman" w:hAnsi="Times New Roman" w:cs="Times New Roman"/>
                <w:b/>
                <w:sz w:val="20"/>
              </w:rPr>
              <w:t xml:space="preserve">DANE DEWELOPERA </w:t>
            </w:r>
          </w:p>
          <w:p w:rsidR="001C505B" w:rsidRDefault="00E81E84">
            <w:r>
              <w:rPr>
                <w:rFonts w:ascii="Times New Roman" w:eastAsia="Times New Roman" w:hAnsi="Times New Roman" w:cs="Times New Roman"/>
                <w:b/>
                <w:sz w:val="20"/>
              </w:rPr>
              <w:t xml:space="preserve"> </w:t>
            </w:r>
          </w:p>
        </w:tc>
        <w:tc>
          <w:tcPr>
            <w:tcW w:w="6661" w:type="dxa"/>
            <w:gridSpan w:val="2"/>
            <w:tcBorders>
              <w:top w:val="single" w:sz="4" w:space="0" w:color="000000"/>
              <w:left w:val="nil"/>
              <w:bottom w:val="single" w:sz="4" w:space="0" w:color="000000"/>
              <w:right w:val="single" w:sz="4" w:space="0" w:color="000000"/>
            </w:tcBorders>
            <w:shd w:val="clear" w:color="auto" w:fill="E0E0E0"/>
          </w:tcPr>
          <w:p w:rsidR="001C505B" w:rsidRDefault="001C505B"/>
        </w:tc>
      </w:tr>
      <w:tr w:rsidR="001C505B">
        <w:trPr>
          <w:trHeight w:val="988"/>
        </w:trPr>
        <w:tc>
          <w:tcPr>
            <w:tcW w:w="2986" w:type="dxa"/>
            <w:tcBorders>
              <w:top w:val="single" w:sz="4" w:space="0" w:color="000000"/>
              <w:left w:val="single" w:sz="4" w:space="0" w:color="000000"/>
              <w:bottom w:val="single" w:sz="4" w:space="0" w:color="000000"/>
              <w:right w:val="single" w:sz="4" w:space="0" w:color="000000"/>
            </w:tcBorders>
            <w:shd w:val="clear" w:color="auto" w:fill="F3F3F3"/>
          </w:tcPr>
          <w:p w:rsidR="001C505B" w:rsidRDefault="00E81E84">
            <w:r>
              <w:rPr>
                <w:rFonts w:ascii="Times New Roman" w:eastAsia="Times New Roman" w:hAnsi="Times New Roman" w:cs="Times New Roman"/>
                <w:sz w:val="20"/>
              </w:rPr>
              <w:t xml:space="preserve">Deweloper </w:t>
            </w:r>
          </w:p>
        </w:tc>
        <w:tc>
          <w:tcPr>
            <w:tcW w:w="6661" w:type="dxa"/>
            <w:gridSpan w:val="2"/>
            <w:tcBorders>
              <w:top w:val="single" w:sz="4" w:space="0" w:color="000000"/>
              <w:left w:val="single" w:sz="4" w:space="0" w:color="000000"/>
              <w:bottom w:val="single" w:sz="4" w:space="0" w:color="000000"/>
              <w:right w:val="single" w:sz="4" w:space="0" w:color="000000"/>
            </w:tcBorders>
            <w:vAlign w:val="center"/>
          </w:tcPr>
          <w:p w:rsidR="001C505B" w:rsidRDefault="00E81E84">
            <w:pPr>
              <w:ind w:left="2"/>
            </w:pPr>
            <w:r>
              <w:rPr>
                <w:rFonts w:ascii="Times New Roman" w:eastAsia="Times New Roman" w:hAnsi="Times New Roman" w:cs="Times New Roman"/>
                <w:sz w:val="20"/>
              </w:rPr>
              <w:t xml:space="preserve"> </w:t>
            </w:r>
            <w:r w:rsidR="00CD3EBF" w:rsidRPr="00CD3EBF">
              <w:rPr>
                <w:rFonts w:ascii="Times New Roman" w:eastAsia="Times New Roman" w:hAnsi="Times New Roman" w:cs="Times New Roman"/>
                <w:color w:val="0070C0"/>
                <w:sz w:val="20"/>
              </w:rPr>
              <w:t>Bogumił Łączyński prowadzący działalność gospodarczą pod firmą Bogumił Łączyński</w:t>
            </w:r>
          </w:p>
          <w:p w:rsidR="001C505B" w:rsidRDefault="00E81E84">
            <w:pPr>
              <w:ind w:left="2"/>
              <w:jc w:val="both"/>
            </w:pPr>
            <w:r>
              <w:rPr>
                <w:rFonts w:ascii="Times New Roman" w:eastAsia="Times New Roman" w:hAnsi="Times New Roman" w:cs="Times New Roman"/>
                <w:sz w:val="20"/>
              </w:rPr>
              <w:t xml:space="preserve">Dane identyfikacyjne (firma, forma prawna, numer Krajowego Rejestru Sądowego lub numer wpisu do Centralnej Ewidencji i Działalności Gospodarczej) </w:t>
            </w:r>
          </w:p>
        </w:tc>
      </w:tr>
      <w:tr w:rsidR="001C505B">
        <w:trPr>
          <w:trHeight w:val="1362"/>
        </w:trPr>
        <w:tc>
          <w:tcPr>
            <w:tcW w:w="2986" w:type="dxa"/>
            <w:tcBorders>
              <w:top w:val="single" w:sz="4" w:space="0" w:color="000000"/>
              <w:left w:val="single" w:sz="4" w:space="0" w:color="000000"/>
              <w:bottom w:val="single" w:sz="4" w:space="0" w:color="000000"/>
              <w:right w:val="single" w:sz="4" w:space="0" w:color="000000"/>
            </w:tcBorders>
            <w:shd w:val="clear" w:color="auto" w:fill="F3F3F3"/>
          </w:tcPr>
          <w:p w:rsidR="001C505B" w:rsidRDefault="00E81E84">
            <w:r>
              <w:rPr>
                <w:rFonts w:ascii="Times New Roman" w:eastAsia="Times New Roman" w:hAnsi="Times New Roman" w:cs="Times New Roman"/>
                <w:sz w:val="20"/>
              </w:rPr>
              <w:t xml:space="preserve">Adres  </w:t>
            </w:r>
          </w:p>
        </w:tc>
        <w:tc>
          <w:tcPr>
            <w:tcW w:w="6661" w:type="dxa"/>
            <w:gridSpan w:val="2"/>
            <w:tcBorders>
              <w:top w:val="single" w:sz="4" w:space="0" w:color="000000"/>
              <w:left w:val="single" w:sz="4" w:space="0" w:color="000000"/>
              <w:bottom w:val="single" w:sz="4" w:space="0" w:color="000000"/>
              <w:right w:val="single" w:sz="4" w:space="0" w:color="000000"/>
            </w:tcBorders>
            <w:vAlign w:val="center"/>
          </w:tcPr>
          <w:p w:rsidR="001C505B" w:rsidRPr="00CD3EBF" w:rsidRDefault="00E81E84">
            <w:pPr>
              <w:spacing w:after="124"/>
              <w:ind w:left="2"/>
              <w:rPr>
                <w:color w:val="0070C0"/>
              </w:rPr>
            </w:pPr>
            <w:r>
              <w:rPr>
                <w:rFonts w:ascii="Times New Roman" w:eastAsia="Times New Roman" w:hAnsi="Times New Roman" w:cs="Times New Roman"/>
                <w:sz w:val="20"/>
              </w:rPr>
              <w:t xml:space="preserve"> </w:t>
            </w:r>
            <w:r w:rsidR="00CD3EBF" w:rsidRPr="00CD3EBF">
              <w:rPr>
                <w:rFonts w:ascii="Times New Roman" w:eastAsia="Times New Roman" w:hAnsi="Times New Roman" w:cs="Times New Roman"/>
                <w:color w:val="0070C0"/>
                <w:sz w:val="20"/>
              </w:rPr>
              <w:t>ul Romańska 150-162, 62-800 Kalisz</w:t>
            </w:r>
          </w:p>
          <w:p w:rsidR="001C505B" w:rsidRDefault="00E81E84">
            <w:pPr>
              <w:ind w:left="2" w:right="49"/>
              <w:jc w:val="both"/>
            </w:pPr>
            <w:r>
              <w:rPr>
                <w:rFonts w:ascii="Times New Roman" w:eastAsia="Times New Roman" w:hAnsi="Times New Roman" w:cs="Times New Roman"/>
                <w:sz w:val="20"/>
              </w:rPr>
              <w:t xml:space="preserve">Adres miejsca wykonywania działalności gospodarczej, adres siedziby i adres punktów, w których jest przedstawiana oferta lokali mieszkalnych albo domów jednorodzinnych </w:t>
            </w:r>
          </w:p>
        </w:tc>
      </w:tr>
      <w:tr w:rsidR="001C505B">
        <w:trPr>
          <w:trHeight w:val="528"/>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1C505B" w:rsidRDefault="00E81E84">
            <w:r>
              <w:rPr>
                <w:rFonts w:ascii="Times New Roman" w:eastAsia="Times New Roman" w:hAnsi="Times New Roman" w:cs="Times New Roman"/>
                <w:sz w:val="20"/>
              </w:rPr>
              <w:t xml:space="preserve">Numer NIP i REGON </w:t>
            </w:r>
          </w:p>
        </w:tc>
        <w:tc>
          <w:tcPr>
            <w:tcW w:w="3242" w:type="dxa"/>
            <w:tcBorders>
              <w:top w:val="single" w:sz="4" w:space="0" w:color="000000"/>
              <w:left w:val="single" w:sz="4" w:space="0" w:color="000000"/>
              <w:bottom w:val="single" w:sz="4" w:space="0" w:color="000000"/>
              <w:right w:val="single" w:sz="4" w:space="0" w:color="000000"/>
            </w:tcBorders>
            <w:vAlign w:val="center"/>
          </w:tcPr>
          <w:p w:rsidR="001C505B" w:rsidRDefault="00E81E84">
            <w:pPr>
              <w:ind w:left="2"/>
              <w:rPr>
                <w:rFonts w:ascii="Times New Roman" w:eastAsia="Times New Roman" w:hAnsi="Times New Roman" w:cs="Times New Roman"/>
                <w:sz w:val="20"/>
              </w:rPr>
            </w:pPr>
            <w:r>
              <w:rPr>
                <w:rFonts w:ascii="Times New Roman" w:eastAsia="Times New Roman" w:hAnsi="Times New Roman" w:cs="Times New Roman"/>
                <w:sz w:val="20"/>
              </w:rPr>
              <w:t xml:space="preserve">NIP, o ile został nadany </w:t>
            </w:r>
          </w:p>
          <w:p w:rsidR="00CD3EBF" w:rsidRDefault="00CD3EBF">
            <w:pPr>
              <w:ind w:left="2"/>
            </w:pPr>
            <w:r w:rsidRPr="00CD3EBF">
              <w:rPr>
                <w:color w:val="0070C0"/>
              </w:rPr>
              <w:t>6181899696</w:t>
            </w:r>
          </w:p>
        </w:tc>
        <w:tc>
          <w:tcPr>
            <w:tcW w:w="3419" w:type="dxa"/>
            <w:tcBorders>
              <w:top w:val="single" w:sz="4" w:space="0" w:color="000000"/>
              <w:left w:val="single" w:sz="4" w:space="0" w:color="000000"/>
              <w:bottom w:val="single" w:sz="4" w:space="0" w:color="000000"/>
              <w:right w:val="single" w:sz="4" w:space="0" w:color="000000"/>
            </w:tcBorders>
            <w:vAlign w:val="center"/>
          </w:tcPr>
          <w:p w:rsidR="001C505B" w:rsidRDefault="00E81E84">
            <w:pPr>
              <w:ind w:left="1"/>
              <w:rPr>
                <w:rFonts w:ascii="Times New Roman" w:eastAsia="Times New Roman" w:hAnsi="Times New Roman" w:cs="Times New Roman"/>
                <w:sz w:val="20"/>
              </w:rPr>
            </w:pPr>
            <w:r>
              <w:rPr>
                <w:rFonts w:ascii="Times New Roman" w:eastAsia="Times New Roman" w:hAnsi="Times New Roman" w:cs="Times New Roman"/>
                <w:sz w:val="20"/>
              </w:rPr>
              <w:t xml:space="preserve">REGON, o ile taki posiada </w:t>
            </w:r>
          </w:p>
          <w:p w:rsidR="00CD3EBF" w:rsidRDefault="00CD3EBF">
            <w:pPr>
              <w:ind w:left="1"/>
            </w:pPr>
            <w:r w:rsidRPr="00CD3EBF">
              <w:rPr>
                <w:color w:val="0070C0"/>
              </w:rPr>
              <w:t>251269331</w:t>
            </w:r>
          </w:p>
        </w:tc>
      </w:tr>
      <w:tr w:rsidR="001C505B">
        <w:trPr>
          <w:trHeight w:val="528"/>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1C505B" w:rsidRDefault="00E81E84">
            <w:r>
              <w:rPr>
                <w:rFonts w:ascii="Times New Roman" w:eastAsia="Times New Roman" w:hAnsi="Times New Roman" w:cs="Times New Roman"/>
                <w:sz w:val="20"/>
              </w:rPr>
              <w:t xml:space="preserve">Numer telefonu </w:t>
            </w:r>
          </w:p>
        </w:tc>
        <w:tc>
          <w:tcPr>
            <w:tcW w:w="6661" w:type="dxa"/>
            <w:gridSpan w:val="2"/>
            <w:tcBorders>
              <w:top w:val="single" w:sz="4" w:space="0" w:color="000000"/>
              <w:left w:val="single" w:sz="4" w:space="0" w:color="000000"/>
              <w:bottom w:val="single" w:sz="4" w:space="0" w:color="000000"/>
              <w:right w:val="single" w:sz="4" w:space="0" w:color="000000"/>
            </w:tcBorders>
            <w:vAlign w:val="center"/>
          </w:tcPr>
          <w:p w:rsidR="001C505B" w:rsidRDefault="00E81E84">
            <w:pPr>
              <w:ind w:left="2"/>
            </w:pPr>
            <w:r>
              <w:rPr>
                <w:rFonts w:ascii="Times New Roman" w:eastAsia="Times New Roman" w:hAnsi="Times New Roman" w:cs="Times New Roman"/>
                <w:sz w:val="20"/>
              </w:rPr>
              <w:t xml:space="preserve"> </w:t>
            </w:r>
            <w:r w:rsidR="00CD3EBF" w:rsidRPr="00CD3EBF">
              <w:rPr>
                <w:rFonts w:ascii="Times New Roman" w:eastAsia="Times New Roman" w:hAnsi="Times New Roman" w:cs="Times New Roman"/>
                <w:color w:val="0070C0"/>
                <w:sz w:val="20"/>
              </w:rPr>
              <w:t>698790162</w:t>
            </w:r>
          </w:p>
        </w:tc>
      </w:tr>
      <w:tr w:rsidR="001C505B">
        <w:trPr>
          <w:trHeight w:val="528"/>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1C505B" w:rsidRDefault="00E81E84">
            <w:r>
              <w:rPr>
                <w:rFonts w:ascii="Times New Roman" w:eastAsia="Times New Roman" w:hAnsi="Times New Roman" w:cs="Times New Roman"/>
                <w:sz w:val="20"/>
              </w:rPr>
              <w:t xml:space="preserve">Adres poczty elektronicznej </w:t>
            </w:r>
          </w:p>
        </w:tc>
        <w:tc>
          <w:tcPr>
            <w:tcW w:w="6661" w:type="dxa"/>
            <w:gridSpan w:val="2"/>
            <w:tcBorders>
              <w:top w:val="single" w:sz="4" w:space="0" w:color="000000"/>
              <w:left w:val="single" w:sz="4" w:space="0" w:color="000000"/>
              <w:bottom w:val="single" w:sz="4" w:space="0" w:color="000000"/>
              <w:right w:val="single" w:sz="4" w:space="0" w:color="000000"/>
            </w:tcBorders>
            <w:vAlign w:val="center"/>
          </w:tcPr>
          <w:p w:rsidR="001C505B" w:rsidRDefault="00E81E84">
            <w:pPr>
              <w:ind w:left="2"/>
            </w:pPr>
            <w:r>
              <w:rPr>
                <w:rFonts w:ascii="Times New Roman" w:eastAsia="Times New Roman" w:hAnsi="Times New Roman" w:cs="Times New Roman"/>
                <w:sz w:val="20"/>
              </w:rPr>
              <w:t xml:space="preserve"> </w:t>
            </w:r>
            <w:hyperlink r:id="rId8" w:history="1">
              <w:r w:rsidR="00CD3EBF" w:rsidRPr="00CD3EBF">
                <w:rPr>
                  <w:rStyle w:val="Hipercze"/>
                  <w:rFonts w:ascii="Times New Roman" w:eastAsia="Times New Roman" w:hAnsi="Times New Roman" w:cs="Times New Roman"/>
                  <w:sz w:val="20"/>
                </w:rPr>
                <w:t>bogumil.laczynski@wp.pl</w:t>
              </w:r>
            </w:hyperlink>
          </w:p>
        </w:tc>
      </w:tr>
      <w:tr w:rsidR="001C505B">
        <w:trPr>
          <w:trHeight w:val="528"/>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1C505B" w:rsidRDefault="00E81E84">
            <w:r>
              <w:rPr>
                <w:rFonts w:ascii="Times New Roman" w:eastAsia="Times New Roman" w:hAnsi="Times New Roman" w:cs="Times New Roman"/>
                <w:sz w:val="20"/>
              </w:rPr>
              <w:t xml:space="preserve">Numer faksu </w:t>
            </w:r>
          </w:p>
        </w:tc>
        <w:tc>
          <w:tcPr>
            <w:tcW w:w="6661" w:type="dxa"/>
            <w:gridSpan w:val="2"/>
            <w:tcBorders>
              <w:top w:val="single" w:sz="4" w:space="0" w:color="000000"/>
              <w:left w:val="single" w:sz="4" w:space="0" w:color="000000"/>
              <w:bottom w:val="single" w:sz="4" w:space="0" w:color="000000"/>
              <w:right w:val="single" w:sz="4" w:space="0" w:color="000000"/>
            </w:tcBorders>
            <w:vAlign w:val="center"/>
          </w:tcPr>
          <w:p w:rsidR="001C505B" w:rsidRDefault="00E81E84">
            <w:pPr>
              <w:ind w:left="2"/>
            </w:pPr>
            <w:r>
              <w:rPr>
                <w:rFonts w:ascii="Times New Roman" w:eastAsia="Times New Roman" w:hAnsi="Times New Roman" w:cs="Times New Roman"/>
                <w:sz w:val="20"/>
              </w:rPr>
              <w:t xml:space="preserve"> </w:t>
            </w:r>
            <w:r w:rsidR="00CD3EBF">
              <w:rPr>
                <w:rFonts w:ascii="Times New Roman" w:eastAsia="Times New Roman" w:hAnsi="Times New Roman" w:cs="Times New Roman"/>
                <w:sz w:val="20"/>
              </w:rPr>
              <w:t>brak</w:t>
            </w:r>
          </w:p>
        </w:tc>
      </w:tr>
      <w:tr w:rsidR="001C505B">
        <w:trPr>
          <w:trHeight w:val="757"/>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1C505B" w:rsidRDefault="00E81E84">
            <w:r>
              <w:rPr>
                <w:rFonts w:ascii="Times New Roman" w:eastAsia="Times New Roman" w:hAnsi="Times New Roman" w:cs="Times New Roman"/>
                <w:sz w:val="20"/>
              </w:rPr>
              <w:t xml:space="preserve">Adres strony internetowej dewelopera </w:t>
            </w:r>
          </w:p>
        </w:tc>
        <w:tc>
          <w:tcPr>
            <w:tcW w:w="6661" w:type="dxa"/>
            <w:gridSpan w:val="2"/>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 </w:t>
            </w:r>
            <w:hyperlink r:id="rId9" w:history="1">
              <w:r w:rsidR="00CD3EBF" w:rsidRPr="00CD3EBF">
                <w:rPr>
                  <w:rStyle w:val="Hipercze"/>
                  <w:rFonts w:ascii="Times New Roman" w:eastAsia="Times New Roman" w:hAnsi="Times New Roman" w:cs="Times New Roman"/>
                  <w:sz w:val="20"/>
                </w:rPr>
                <w:t>www.osiedlekrajobrazowe.kalisz.pl</w:t>
              </w:r>
            </w:hyperlink>
          </w:p>
        </w:tc>
      </w:tr>
    </w:tbl>
    <w:p w:rsidR="001C505B" w:rsidRDefault="00E81E84">
      <w:pPr>
        <w:numPr>
          <w:ilvl w:val="0"/>
          <w:numId w:val="1"/>
        </w:numPr>
        <w:spacing w:after="312" w:line="265" w:lineRule="auto"/>
        <w:ind w:hanging="720"/>
      </w:pPr>
      <w:r>
        <w:rPr>
          <w:rFonts w:ascii="Times New Roman" w:eastAsia="Times New Roman" w:hAnsi="Times New Roman" w:cs="Times New Roman"/>
          <w:b/>
          <w:sz w:val="20"/>
        </w:rPr>
        <w:t xml:space="preserve">DOŚWIADCZENIE DEWELOPERA </w:t>
      </w:r>
    </w:p>
    <w:p w:rsidR="001C505B" w:rsidRDefault="00E81E84">
      <w:pPr>
        <w:pBdr>
          <w:top w:val="single" w:sz="4" w:space="0" w:color="000000"/>
          <w:left w:val="single" w:sz="4" w:space="0" w:color="000000"/>
          <w:bottom w:val="single" w:sz="4" w:space="0" w:color="000000"/>
          <w:right w:val="single" w:sz="4" w:space="0" w:color="000000"/>
        </w:pBdr>
        <w:shd w:val="clear" w:color="auto" w:fill="E0E0E0"/>
        <w:spacing w:after="329"/>
        <w:ind w:left="217"/>
      </w:pPr>
      <w:r>
        <w:rPr>
          <w:rFonts w:ascii="Times New Roman" w:eastAsia="Times New Roman" w:hAnsi="Times New Roman" w:cs="Times New Roman"/>
          <w:b/>
          <w:sz w:val="20"/>
        </w:rPr>
        <w:t xml:space="preserve">HISTORIA I UDOKUMENTOWANE DOŚWIADCZENIE DEWELOPERA </w:t>
      </w:r>
    </w:p>
    <w:p w:rsidR="001C505B" w:rsidRDefault="00E81E84">
      <w:pPr>
        <w:spacing w:after="0"/>
      </w:pPr>
      <w:r>
        <w:rPr>
          <w:rFonts w:ascii="Times New Roman" w:eastAsia="Times New Roman" w:hAnsi="Times New Roman" w:cs="Times New Roman"/>
          <w:sz w:val="20"/>
        </w:rPr>
        <w:t xml:space="preserve"> </w:t>
      </w:r>
    </w:p>
    <w:tbl>
      <w:tblPr>
        <w:tblStyle w:val="TableGrid"/>
        <w:tblW w:w="9647" w:type="dxa"/>
        <w:tblInd w:w="110" w:type="dxa"/>
        <w:tblCellMar>
          <w:top w:w="196" w:type="dxa"/>
          <w:left w:w="107" w:type="dxa"/>
          <w:right w:w="60" w:type="dxa"/>
        </w:tblCellMar>
        <w:tblLook w:val="04A0"/>
      </w:tblPr>
      <w:tblGrid>
        <w:gridCol w:w="2811"/>
        <w:gridCol w:w="6836"/>
      </w:tblGrid>
      <w:tr w:rsidR="001C505B">
        <w:trPr>
          <w:trHeight w:val="757"/>
        </w:trPr>
        <w:tc>
          <w:tcPr>
            <w:tcW w:w="9647" w:type="dxa"/>
            <w:gridSpan w:val="2"/>
            <w:tcBorders>
              <w:top w:val="single" w:sz="4" w:space="0" w:color="000000"/>
              <w:left w:val="single" w:sz="4" w:space="0" w:color="000000"/>
              <w:bottom w:val="single" w:sz="4" w:space="0" w:color="000000"/>
              <w:right w:val="single" w:sz="4" w:space="0" w:color="000000"/>
            </w:tcBorders>
            <w:shd w:val="clear" w:color="auto" w:fill="E0E0E0"/>
            <w:vAlign w:val="center"/>
          </w:tcPr>
          <w:p w:rsidR="001C505B" w:rsidRDefault="00E81E84">
            <w:pPr>
              <w:jc w:val="both"/>
            </w:pPr>
            <w:r>
              <w:rPr>
                <w:rFonts w:ascii="Times New Roman" w:eastAsia="Times New Roman" w:hAnsi="Times New Roman" w:cs="Times New Roman"/>
                <w:b/>
                <w:sz w:val="20"/>
              </w:rPr>
              <w:lastRenderedPageBreak/>
              <w:t xml:space="preserve">PRZYKŁAD UKOŃCZONEGO PRZEDSIĘWZIĘCIA DEWELOPERSKIEGO (należy wskazać, o ile istnieją, trzy ukończone przedsięwzięcia deweloperskie, w tym ostatnie) </w:t>
            </w:r>
          </w:p>
        </w:tc>
      </w:tr>
      <w:tr w:rsidR="001C505B">
        <w:trPr>
          <w:trHeight w:val="527"/>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1C505B" w:rsidRDefault="00E81E84">
            <w:r>
              <w:rPr>
                <w:rFonts w:ascii="Times New Roman" w:eastAsia="Times New Roman" w:hAnsi="Times New Roman" w:cs="Times New Roman"/>
                <w:sz w:val="20"/>
              </w:rPr>
              <w:t xml:space="preserve">Adres  </w:t>
            </w:r>
          </w:p>
        </w:tc>
        <w:tc>
          <w:tcPr>
            <w:tcW w:w="6836" w:type="dxa"/>
            <w:tcBorders>
              <w:top w:val="single" w:sz="4" w:space="0" w:color="000000"/>
              <w:left w:val="single" w:sz="4" w:space="0" w:color="000000"/>
              <w:bottom w:val="single" w:sz="4" w:space="0" w:color="000000"/>
              <w:right w:val="single" w:sz="4" w:space="0" w:color="000000"/>
            </w:tcBorders>
            <w:vAlign w:val="center"/>
          </w:tcPr>
          <w:p w:rsidR="001C505B" w:rsidRDefault="00E81E84">
            <w:pPr>
              <w:ind w:left="2"/>
            </w:pPr>
            <w:r>
              <w:rPr>
                <w:rFonts w:ascii="Times New Roman" w:eastAsia="Times New Roman" w:hAnsi="Times New Roman" w:cs="Times New Roman"/>
                <w:sz w:val="20"/>
              </w:rPr>
              <w:t xml:space="preserve"> </w:t>
            </w:r>
            <w:r w:rsidR="00556D59" w:rsidRPr="00556D59">
              <w:rPr>
                <w:rFonts w:ascii="Times New Roman" w:eastAsia="Times New Roman" w:hAnsi="Times New Roman" w:cs="Times New Roman"/>
                <w:color w:val="0070C0"/>
                <w:sz w:val="20"/>
              </w:rPr>
              <w:t>Ul. Krajobrazowa 2-6, 62-800 Kalisz, działka nr 62/3</w:t>
            </w:r>
          </w:p>
        </w:tc>
      </w:tr>
      <w:tr w:rsidR="001C505B">
        <w:trPr>
          <w:trHeight w:val="52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1C505B" w:rsidRDefault="00E81E84">
            <w:r>
              <w:rPr>
                <w:rFonts w:ascii="Times New Roman" w:eastAsia="Times New Roman" w:hAnsi="Times New Roman" w:cs="Times New Roman"/>
                <w:sz w:val="20"/>
              </w:rPr>
              <w:t xml:space="preserve">Data rozpoczęcia  </w:t>
            </w:r>
          </w:p>
        </w:tc>
        <w:tc>
          <w:tcPr>
            <w:tcW w:w="6836" w:type="dxa"/>
            <w:tcBorders>
              <w:top w:val="single" w:sz="4" w:space="0" w:color="000000"/>
              <w:left w:val="single" w:sz="4" w:space="0" w:color="000000"/>
              <w:bottom w:val="single" w:sz="4" w:space="0" w:color="000000"/>
              <w:right w:val="single" w:sz="4" w:space="0" w:color="000000"/>
            </w:tcBorders>
            <w:vAlign w:val="center"/>
          </w:tcPr>
          <w:p w:rsidR="001C505B" w:rsidRDefault="00E81E84">
            <w:pPr>
              <w:ind w:left="2"/>
            </w:pPr>
            <w:r>
              <w:rPr>
                <w:rFonts w:ascii="Times New Roman" w:eastAsia="Times New Roman" w:hAnsi="Times New Roman" w:cs="Times New Roman"/>
                <w:sz w:val="20"/>
              </w:rPr>
              <w:t xml:space="preserve"> </w:t>
            </w:r>
            <w:r w:rsidR="00556D59" w:rsidRPr="00556D59">
              <w:rPr>
                <w:rFonts w:ascii="Times New Roman" w:eastAsia="Times New Roman" w:hAnsi="Times New Roman" w:cs="Times New Roman"/>
                <w:color w:val="0070C0"/>
                <w:sz w:val="20"/>
              </w:rPr>
              <w:t>01-09-2020</w:t>
            </w:r>
          </w:p>
        </w:tc>
      </w:tr>
      <w:tr w:rsidR="001C505B">
        <w:trPr>
          <w:trHeight w:val="757"/>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1C505B" w:rsidRDefault="00E81E84">
            <w:pPr>
              <w:ind w:right="250"/>
            </w:pPr>
            <w:r>
              <w:rPr>
                <w:rFonts w:ascii="Times New Roman" w:eastAsia="Times New Roman" w:hAnsi="Times New Roman" w:cs="Times New Roman"/>
                <w:sz w:val="20"/>
              </w:rPr>
              <w:t xml:space="preserve">Data wydania decyzji o pozwoleniu na użytkowanie </w:t>
            </w:r>
          </w:p>
        </w:tc>
        <w:tc>
          <w:tcPr>
            <w:tcW w:w="6836"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 </w:t>
            </w:r>
            <w:r w:rsidR="00556D59" w:rsidRPr="00556D59">
              <w:rPr>
                <w:rFonts w:ascii="Times New Roman" w:eastAsia="Times New Roman" w:hAnsi="Times New Roman" w:cs="Times New Roman"/>
                <w:color w:val="0070C0"/>
                <w:sz w:val="20"/>
              </w:rPr>
              <w:t>PINB. 400.28.2022.MM Kalisz z dnia 25.02.2022 Budynek A i B</w:t>
            </w:r>
          </w:p>
        </w:tc>
      </w:tr>
      <w:tr w:rsidR="001C505B">
        <w:trPr>
          <w:trHeight w:val="979"/>
        </w:trPr>
        <w:tc>
          <w:tcPr>
            <w:tcW w:w="9647" w:type="dxa"/>
            <w:gridSpan w:val="2"/>
            <w:tcBorders>
              <w:top w:val="single" w:sz="4" w:space="0" w:color="000000"/>
              <w:left w:val="single" w:sz="4" w:space="0" w:color="000000"/>
              <w:bottom w:val="single" w:sz="4" w:space="0" w:color="000000"/>
              <w:right w:val="single" w:sz="4" w:space="0" w:color="000000"/>
            </w:tcBorders>
            <w:shd w:val="clear" w:color="auto" w:fill="E0E0E0"/>
            <w:vAlign w:val="center"/>
          </w:tcPr>
          <w:p w:rsidR="001C505B" w:rsidRDefault="00E81E84">
            <w:pPr>
              <w:spacing w:after="124"/>
            </w:pPr>
            <w:r>
              <w:rPr>
                <w:rFonts w:ascii="Times New Roman" w:eastAsia="Times New Roman" w:hAnsi="Times New Roman" w:cs="Times New Roman"/>
                <w:b/>
                <w:sz w:val="20"/>
              </w:rPr>
              <w:t xml:space="preserve">PRZYKŁAD INNEGO UKOŃCZONEGO PRZEDSIĘWZIĘCIA DEWELOPERSKIEGO </w:t>
            </w:r>
          </w:p>
          <w:p w:rsidR="001C505B" w:rsidRDefault="00E81E84">
            <w:r>
              <w:rPr>
                <w:rFonts w:ascii="Times New Roman" w:eastAsia="Times New Roman" w:hAnsi="Times New Roman" w:cs="Times New Roman"/>
                <w:b/>
                <w:sz w:val="20"/>
              </w:rPr>
              <w:t xml:space="preserve"> </w:t>
            </w:r>
          </w:p>
        </w:tc>
      </w:tr>
      <w:tr w:rsidR="001C505B">
        <w:trPr>
          <w:trHeight w:val="670"/>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1C505B" w:rsidRDefault="00E81E84">
            <w:r>
              <w:rPr>
                <w:rFonts w:ascii="Times New Roman" w:eastAsia="Times New Roman" w:hAnsi="Times New Roman" w:cs="Times New Roman"/>
                <w:sz w:val="20"/>
              </w:rPr>
              <w:t xml:space="preserve">Adres  </w:t>
            </w:r>
          </w:p>
        </w:tc>
        <w:tc>
          <w:tcPr>
            <w:tcW w:w="6836" w:type="dxa"/>
            <w:tcBorders>
              <w:top w:val="single" w:sz="4" w:space="0" w:color="000000"/>
              <w:left w:val="single" w:sz="4" w:space="0" w:color="000000"/>
              <w:bottom w:val="single" w:sz="4" w:space="0" w:color="000000"/>
              <w:right w:val="single" w:sz="4" w:space="0" w:color="000000"/>
            </w:tcBorders>
            <w:vAlign w:val="center"/>
          </w:tcPr>
          <w:p w:rsidR="001C505B" w:rsidRDefault="00E81E84">
            <w:pPr>
              <w:ind w:left="2"/>
            </w:pPr>
            <w:r>
              <w:rPr>
                <w:rFonts w:ascii="Times New Roman" w:eastAsia="Times New Roman" w:hAnsi="Times New Roman" w:cs="Times New Roman"/>
                <w:sz w:val="20"/>
              </w:rPr>
              <w:t xml:space="preserve"> </w:t>
            </w:r>
            <w:r w:rsidR="001B5EC4">
              <w:rPr>
                <w:rFonts w:ascii="Times New Roman" w:eastAsia="Times New Roman" w:hAnsi="Times New Roman" w:cs="Times New Roman"/>
                <w:sz w:val="20"/>
              </w:rPr>
              <w:t>Brak</w:t>
            </w:r>
          </w:p>
        </w:tc>
      </w:tr>
      <w:tr w:rsidR="001C505B">
        <w:trPr>
          <w:trHeight w:val="735"/>
        </w:trPr>
        <w:tc>
          <w:tcPr>
            <w:tcW w:w="2811" w:type="dxa"/>
            <w:tcBorders>
              <w:top w:val="single" w:sz="4" w:space="0" w:color="000000"/>
              <w:left w:val="single" w:sz="4" w:space="0" w:color="000000"/>
              <w:bottom w:val="single" w:sz="4" w:space="0" w:color="000000"/>
              <w:right w:val="single" w:sz="4" w:space="0" w:color="000000"/>
            </w:tcBorders>
            <w:shd w:val="clear" w:color="auto" w:fill="F3F3F3"/>
          </w:tcPr>
          <w:p w:rsidR="001C505B" w:rsidRDefault="00E81E84">
            <w:r>
              <w:rPr>
                <w:rFonts w:ascii="Times New Roman" w:eastAsia="Times New Roman" w:hAnsi="Times New Roman" w:cs="Times New Roman"/>
                <w:sz w:val="20"/>
              </w:rPr>
              <w:t xml:space="preserve">Data rozpoczęcia  </w:t>
            </w:r>
          </w:p>
        </w:tc>
        <w:tc>
          <w:tcPr>
            <w:tcW w:w="6836"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 </w:t>
            </w:r>
            <w:r w:rsidR="001B5EC4" w:rsidRPr="001B5EC4">
              <w:rPr>
                <w:rFonts w:ascii="Times New Roman" w:eastAsia="Times New Roman" w:hAnsi="Times New Roman" w:cs="Times New Roman"/>
                <w:sz w:val="20"/>
              </w:rPr>
              <w:t>Brak</w:t>
            </w:r>
          </w:p>
        </w:tc>
      </w:tr>
      <w:tr w:rsidR="001C505B">
        <w:trPr>
          <w:trHeight w:val="85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1C505B" w:rsidRDefault="00E81E84">
            <w:pPr>
              <w:ind w:right="195"/>
            </w:pPr>
            <w:r>
              <w:rPr>
                <w:rFonts w:ascii="Times New Roman" w:eastAsia="Times New Roman" w:hAnsi="Times New Roman" w:cs="Times New Roman"/>
                <w:sz w:val="20"/>
              </w:rPr>
              <w:t xml:space="preserve">Data wydania decyzji  o pozwoleniu na użytkowanie </w:t>
            </w:r>
          </w:p>
        </w:tc>
        <w:tc>
          <w:tcPr>
            <w:tcW w:w="6836"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 </w:t>
            </w:r>
            <w:r w:rsidR="001B5EC4" w:rsidRPr="001B5EC4">
              <w:rPr>
                <w:rFonts w:ascii="Times New Roman" w:eastAsia="Times New Roman" w:hAnsi="Times New Roman" w:cs="Times New Roman"/>
                <w:sz w:val="20"/>
              </w:rPr>
              <w:t>Brak</w:t>
            </w:r>
          </w:p>
        </w:tc>
      </w:tr>
      <w:tr w:rsidR="001C505B">
        <w:trPr>
          <w:trHeight w:val="894"/>
        </w:trPr>
        <w:tc>
          <w:tcPr>
            <w:tcW w:w="9647" w:type="dxa"/>
            <w:gridSpan w:val="2"/>
            <w:tcBorders>
              <w:top w:val="single" w:sz="4" w:space="0" w:color="000000"/>
              <w:left w:val="single" w:sz="4" w:space="0" w:color="000000"/>
              <w:bottom w:val="single" w:sz="4" w:space="0" w:color="000000"/>
              <w:right w:val="single" w:sz="4" w:space="0" w:color="000000"/>
            </w:tcBorders>
            <w:shd w:val="clear" w:color="auto" w:fill="E0E0E0"/>
            <w:vAlign w:val="bottom"/>
          </w:tcPr>
          <w:p w:rsidR="001C505B" w:rsidRDefault="00E81E84">
            <w:pPr>
              <w:spacing w:after="259"/>
            </w:pPr>
            <w:r>
              <w:rPr>
                <w:rFonts w:ascii="Times New Roman" w:eastAsia="Times New Roman" w:hAnsi="Times New Roman" w:cs="Times New Roman"/>
                <w:b/>
                <w:sz w:val="20"/>
              </w:rPr>
              <w:t xml:space="preserve">PRZYKŁAD OSTATNIEGO UKOŃCZONEGO PRZEDSIĘWZIĘCIA DEWELOPERSKIEGO </w:t>
            </w:r>
          </w:p>
          <w:p w:rsidR="001C505B" w:rsidRDefault="00E81E84">
            <w:r>
              <w:rPr>
                <w:rFonts w:ascii="Times New Roman" w:eastAsia="Times New Roman" w:hAnsi="Times New Roman" w:cs="Times New Roman"/>
                <w:b/>
                <w:sz w:val="20"/>
              </w:rPr>
              <w:t xml:space="preserve"> </w:t>
            </w:r>
          </w:p>
        </w:tc>
      </w:tr>
      <w:tr w:rsidR="001C505B">
        <w:trPr>
          <w:trHeight w:val="52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1C505B" w:rsidRDefault="00E81E84">
            <w:r>
              <w:rPr>
                <w:rFonts w:ascii="Times New Roman" w:eastAsia="Times New Roman" w:hAnsi="Times New Roman" w:cs="Times New Roman"/>
                <w:sz w:val="20"/>
              </w:rPr>
              <w:t xml:space="preserve">Adres  </w:t>
            </w:r>
          </w:p>
        </w:tc>
        <w:tc>
          <w:tcPr>
            <w:tcW w:w="6836" w:type="dxa"/>
            <w:tcBorders>
              <w:top w:val="single" w:sz="4" w:space="0" w:color="000000"/>
              <w:left w:val="single" w:sz="4" w:space="0" w:color="000000"/>
              <w:bottom w:val="single" w:sz="4" w:space="0" w:color="000000"/>
              <w:right w:val="single" w:sz="4" w:space="0" w:color="000000"/>
            </w:tcBorders>
            <w:vAlign w:val="center"/>
          </w:tcPr>
          <w:p w:rsidR="00556D59" w:rsidRDefault="00E81E84">
            <w:pPr>
              <w:ind w:left="2"/>
            </w:pPr>
            <w:r>
              <w:rPr>
                <w:rFonts w:ascii="Times New Roman" w:eastAsia="Times New Roman" w:hAnsi="Times New Roman" w:cs="Times New Roman"/>
                <w:sz w:val="20"/>
              </w:rPr>
              <w:t xml:space="preserve"> </w:t>
            </w:r>
          </w:p>
          <w:p w:rsidR="00556D59" w:rsidRDefault="00556D59" w:rsidP="00556D59">
            <w:pPr>
              <w:spacing w:line="240" w:lineRule="auto"/>
              <w:ind w:left="5"/>
            </w:pPr>
            <w:r>
              <w:rPr>
                <w:rFonts w:ascii="Verdana" w:hAnsi="Verdana"/>
                <w:color w:val="4472C4" w:themeColor="accent1"/>
                <w:sz w:val="24"/>
              </w:rPr>
              <w:t>Ul. Krajobrazowa 2-6, 62-800 Kalisz, działka nr 62/3</w:t>
            </w:r>
          </w:p>
          <w:p w:rsidR="001C505B" w:rsidRDefault="001C505B">
            <w:pPr>
              <w:ind w:left="2"/>
            </w:pPr>
          </w:p>
        </w:tc>
      </w:tr>
      <w:tr w:rsidR="001C505B">
        <w:trPr>
          <w:trHeight w:val="52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1C505B" w:rsidRDefault="00E81E84">
            <w:r>
              <w:rPr>
                <w:rFonts w:ascii="Times New Roman" w:eastAsia="Times New Roman" w:hAnsi="Times New Roman" w:cs="Times New Roman"/>
                <w:sz w:val="20"/>
              </w:rPr>
              <w:t xml:space="preserve">Data rozpoczęcia  </w:t>
            </w:r>
          </w:p>
        </w:tc>
        <w:tc>
          <w:tcPr>
            <w:tcW w:w="6836" w:type="dxa"/>
            <w:tcBorders>
              <w:top w:val="single" w:sz="4" w:space="0" w:color="000000"/>
              <w:left w:val="single" w:sz="4" w:space="0" w:color="000000"/>
              <w:bottom w:val="single" w:sz="4" w:space="0" w:color="000000"/>
              <w:right w:val="single" w:sz="4" w:space="0" w:color="000000"/>
            </w:tcBorders>
            <w:vAlign w:val="center"/>
          </w:tcPr>
          <w:p w:rsidR="001C505B" w:rsidRDefault="00E81E84">
            <w:pPr>
              <w:ind w:left="2"/>
            </w:pPr>
            <w:r w:rsidRPr="00556D59">
              <w:rPr>
                <w:rFonts w:ascii="Times New Roman" w:eastAsia="Times New Roman" w:hAnsi="Times New Roman" w:cs="Times New Roman"/>
                <w:color w:val="0070C0"/>
                <w:sz w:val="20"/>
              </w:rPr>
              <w:t xml:space="preserve"> </w:t>
            </w:r>
            <w:r w:rsidR="00556D59" w:rsidRPr="00556D59">
              <w:rPr>
                <w:rFonts w:ascii="Times New Roman" w:eastAsia="Times New Roman" w:hAnsi="Times New Roman" w:cs="Times New Roman"/>
                <w:color w:val="0070C0"/>
                <w:sz w:val="20"/>
              </w:rPr>
              <w:t>01-04-2024</w:t>
            </w:r>
          </w:p>
        </w:tc>
      </w:tr>
      <w:tr w:rsidR="001C505B">
        <w:trPr>
          <w:trHeight w:val="83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1C505B" w:rsidRDefault="00E81E84">
            <w:pPr>
              <w:ind w:right="195"/>
            </w:pPr>
            <w:r>
              <w:rPr>
                <w:rFonts w:ascii="Times New Roman" w:eastAsia="Times New Roman" w:hAnsi="Times New Roman" w:cs="Times New Roman"/>
                <w:sz w:val="20"/>
              </w:rPr>
              <w:t xml:space="preserve">Data wydania decyzji o pozwoleniu na użytkowanie </w:t>
            </w:r>
          </w:p>
        </w:tc>
        <w:tc>
          <w:tcPr>
            <w:tcW w:w="6836"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 </w:t>
            </w:r>
            <w:r w:rsidR="00556D59" w:rsidRPr="00556D59">
              <w:rPr>
                <w:rFonts w:ascii="Times New Roman" w:eastAsia="Times New Roman" w:hAnsi="Times New Roman" w:cs="Times New Roman"/>
                <w:color w:val="0070C0"/>
                <w:sz w:val="20"/>
              </w:rPr>
              <w:t>07-08-2025</w:t>
            </w:r>
          </w:p>
        </w:tc>
      </w:tr>
    </w:tbl>
    <w:p w:rsidR="001C505B" w:rsidRDefault="00E81E84">
      <w:pPr>
        <w:spacing w:after="0"/>
      </w:pPr>
      <w:r>
        <w:rPr>
          <w:rFonts w:ascii="Times New Roman" w:eastAsia="Times New Roman" w:hAnsi="Times New Roman" w:cs="Times New Roman"/>
          <w:sz w:val="16"/>
        </w:rPr>
        <w:t xml:space="preserve"> </w:t>
      </w:r>
    </w:p>
    <w:tbl>
      <w:tblPr>
        <w:tblStyle w:val="TableGrid"/>
        <w:tblW w:w="9648" w:type="dxa"/>
        <w:tblInd w:w="110" w:type="dxa"/>
        <w:tblCellMar>
          <w:top w:w="196" w:type="dxa"/>
          <w:left w:w="107" w:type="dxa"/>
          <w:right w:w="115" w:type="dxa"/>
        </w:tblCellMar>
        <w:tblLook w:val="04A0"/>
      </w:tblPr>
      <w:tblGrid>
        <w:gridCol w:w="2806"/>
        <w:gridCol w:w="6842"/>
      </w:tblGrid>
      <w:tr w:rsidR="001C505B">
        <w:trPr>
          <w:trHeight w:val="1216"/>
        </w:trPr>
        <w:tc>
          <w:tcPr>
            <w:tcW w:w="2806"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1C505B" w:rsidRDefault="00E81E84">
            <w:pPr>
              <w:ind w:right="195"/>
            </w:pPr>
            <w:r>
              <w:rPr>
                <w:rFonts w:ascii="Times New Roman" w:eastAsia="Times New Roman" w:hAnsi="Times New Roman" w:cs="Times New Roman"/>
                <w:sz w:val="20"/>
              </w:rPr>
              <w:t>Czy przeciwko deweloperowi prowadzono lub prowadzi się postępowania egzekucyjne na kwotę powyżej 100 000 zł</w:t>
            </w:r>
            <w:r>
              <w:rPr>
                <w:rFonts w:ascii="Times New Roman" w:eastAsia="Times New Roman" w:hAnsi="Times New Roman" w:cs="Times New Roman"/>
                <w:b/>
                <w:sz w:val="20"/>
              </w:rPr>
              <w:t xml:space="preserve"> </w:t>
            </w:r>
          </w:p>
        </w:tc>
        <w:tc>
          <w:tcPr>
            <w:tcW w:w="6842"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b/>
                <w:sz w:val="20"/>
              </w:rPr>
              <w:t xml:space="preserve"> </w:t>
            </w:r>
            <w:r w:rsidR="00556D59" w:rsidRPr="00556D59">
              <w:rPr>
                <w:rFonts w:ascii="Times New Roman" w:eastAsia="Times New Roman" w:hAnsi="Times New Roman" w:cs="Times New Roman"/>
                <w:b/>
                <w:color w:val="0070C0"/>
                <w:sz w:val="20"/>
              </w:rPr>
              <w:t>nie</w:t>
            </w:r>
          </w:p>
        </w:tc>
      </w:tr>
    </w:tbl>
    <w:p w:rsidR="001C505B" w:rsidRDefault="00E81E84">
      <w:pPr>
        <w:numPr>
          <w:ilvl w:val="0"/>
          <w:numId w:val="1"/>
        </w:numPr>
        <w:spacing w:after="0"/>
        <w:ind w:hanging="720"/>
      </w:pPr>
      <w:r>
        <w:rPr>
          <w:rFonts w:ascii="Times New Roman" w:eastAsia="Times New Roman" w:hAnsi="Times New Roman" w:cs="Times New Roman"/>
          <w:b/>
          <w:sz w:val="20"/>
        </w:rPr>
        <w:t>INFORMACJE DOTYCZĄCE NIERUCHOMOŚCI I PRZEDSIĘWZIĘCIA DEWELOPERSKIEGO</w:t>
      </w:r>
      <w:r>
        <w:rPr>
          <w:rFonts w:ascii="Times New Roman" w:eastAsia="Times New Roman" w:hAnsi="Times New Roman" w:cs="Times New Roman"/>
          <w:sz w:val="20"/>
          <w:vertAlign w:val="superscript"/>
        </w:rPr>
        <w:t>43)</w:t>
      </w:r>
      <w:r>
        <w:rPr>
          <w:rFonts w:ascii="Times New Roman" w:eastAsia="Times New Roman" w:hAnsi="Times New Roman" w:cs="Times New Roman"/>
          <w:sz w:val="20"/>
        </w:rPr>
        <w:t xml:space="preserve"> </w:t>
      </w:r>
    </w:p>
    <w:tbl>
      <w:tblPr>
        <w:tblStyle w:val="TableGrid"/>
        <w:tblW w:w="9644" w:type="dxa"/>
        <w:tblInd w:w="6" w:type="dxa"/>
        <w:tblCellMar>
          <w:top w:w="53" w:type="dxa"/>
          <w:left w:w="107" w:type="dxa"/>
          <w:right w:w="80" w:type="dxa"/>
        </w:tblCellMar>
        <w:tblLook w:val="04A0"/>
      </w:tblPr>
      <w:tblGrid>
        <w:gridCol w:w="2970"/>
        <w:gridCol w:w="6674"/>
      </w:tblGrid>
      <w:tr w:rsidR="001C505B">
        <w:trPr>
          <w:trHeight w:val="570"/>
        </w:trPr>
        <w:tc>
          <w:tcPr>
            <w:tcW w:w="9644" w:type="dxa"/>
            <w:gridSpan w:val="2"/>
            <w:tcBorders>
              <w:top w:val="single" w:sz="4" w:space="0" w:color="000000"/>
              <w:left w:val="single" w:sz="4" w:space="0" w:color="000000"/>
              <w:bottom w:val="single" w:sz="4" w:space="0" w:color="000000"/>
              <w:right w:val="single" w:sz="4" w:space="0" w:color="000000"/>
            </w:tcBorders>
            <w:shd w:val="clear" w:color="auto" w:fill="E0E0E0"/>
            <w:vAlign w:val="center"/>
          </w:tcPr>
          <w:p w:rsidR="001C505B" w:rsidRDefault="00E81E84">
            <w:r>
              <w:rPr>
                <w:rFonts w:ascii="Times New Roman" w:eastAsia="Times New Roman" w:hAnsi="Times New Roman" w:cs="Times New Roman"/>
                <w:b/>
                <w:sz w:val="20"/>
              </w:rPr>
              <w:t xml:space="preserve">INFORMACJE DOTYCZĄCE GRUNTU I ZAGOSPODAROWANIA PRZESTRZENNEGO TERENU </w:t>
            </w:r>
          </w:p>
        </w:tc>
      </w:tr>
      <w:tr w:rsidR="001C505B">
        <w:trPr>
          <w:trHeight w:val="787"/>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rsidR="001C505B" w:rsidRDefault="00E81E84">
            <w:pPr>
              <w:jc w:val="both"/>
            </w:pPr>
            <w:r>
              <w:rPr>
                <w:rFonts w:ascii="Times New Roman" w:eastAsia="Times New Roman" w:hAnsi="Times New Roman" w:cs="Times New Roman"/>
                <w:sz w:val="20"/>
              </w:rPr>
              <w:lastRenderedPageBreak/>
              <w:t>Adres, numer działki ewidencyjnej i numer obrębu ewidencyjnego</w:t>
            </w:r>
            <w:r>
              <w:rPr>
                <w:rFonts w:ascii="Times New Roman" w:eastAsia="Times New Roman" w:hAnsi="Times New Roman" w:cs="Times New Roman"/>
                <w:sz w:val="20"/>
                <w:vertAlign w:val="superscript"/>
              </w:rPr>
              <w:t>1)</w:t>
            </w:r>
            <w:r>
              <w:rPr>
                <w:rFonts w:ascii="Times New Roman" w:eastAsia="Times New Roman" w:hAnsi="Times New Roman" w:cs="Times New Roman"/>
                <w:sz w:val="20"/>
              </w:rPr>
              <w:t xml:space="preserve"> </w:t>
            </w:r>
          </w:p>
        </w:tc>
        <w:tc>
          <w:tcPr>
            <w:tcW w:w="6674" w:type="dxa"/>
            <w:tcBorders>
              <w:top w:val="single" w:sz="4" w:space="0" w:color="000000"/>
              <w:left w:val="single" w:sz="4" w:space="0" w:color="000000"/>
              <w:bottom w:val="single" w:sz="4" w:space="0" w:color="000000"/>
              <w:right w:val="single" w:sz="4" w:space="0" w:color="000000"/>
            </w:tcBorders>
          </w:tcPr>
          <w:p w:rsidR="001C505B" w:rsidRPr="00556D59" w:rsidRDefault="00E81E84">
            <w:pPr>
              <w:ind w:left="2"/>
              <w:rPr>
                <w:color w:val="0070C0"/>
              </w:rPr>
            </w:pPr>
            <w:r w:rsidRPr="00556D59">
              <w:rPr>
                <w:rFonts w:ascii="Times New Roman" w:eastAsia="Times New Roman" w:hAnsi="Times New Roman" w:cs="Times New Roman"/>
                <w:color w:val="0070C0"/>
                <w:sz w:val="20"/>
              </w:rPr>
              <w:t xml:space="preserve"> </w:t>
            </w:r>
            <w:r w:rsidR="00556D59" w:rsidRPr="00556D59">
              <w:rPr>
                <w:rFonts w:ascii="Times New Roman" w:eastAsia="Times New Roman" w:hAnsi="Times New Roman" w:cs="Times New Roman"/>
                <w:color w:val="0070C0"/>
                <w:sz w:val="20"/>
              </w:rPr>
              <w:t>Ul. Krajobrazowa 2-6, 62-800 Kalisz, działka nr 62/3 nr obrębu: 0161, SULISŁAWICE</w:t>
            </w:r>
          </w:p>
        </w:tc>
      </w:tr>
      <w:tr w:rsidR="001C505B">
        <w:trPr>
          <w:trHeight w:val="558"/>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rsidR="001C505B" w:rsidRDefault="00E81E84">
            <w:r>
              <w:rPr>
                <w:rFonts w:ascii="Times New Roman" w:eastAsia="Times New Roman" w:hAnsi="Times New Roman" w:cs="Times New Roman"/>
                <w:sz w:val="20"/>
              </w:rPr>
              <w:t xml:space="preserve">Numer księgi wieczystej  </w:t>
            </w:r>
          </w:p>
        </w:tc>
        <w:tc>
          <w:tcPr>
            <w:tcW w:w="6674"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 </w:t>
            </w:r>
            <w:r w:rsidR="00556D59" w:rsidRPr="00556D59">
              <w:rPr>
                <w:rFonts w:ascii="Times New Roman" w:eastAsia="Times New Roman" w:hAnsi="Times New Roman" w:cs="Times New Roman"/>
                <w:color w:val="0070C0"/>
                <w:sz w:val="20"/>
              </w:rPr>
              <w:t>KZ1A/00097238/1</w:t>
            </w:r>
          </w:p>
        </w:tc>
      </w:tr>
      <w:tr w:rsidR="001C505B">
        <w:trPr>
          <w:trHeight w:val="1147"/>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rsidR="001C505B" w:rsidRDefault="00E81E84">
            <w:pPr>
              <w:spacing w:after="18" w:line="294" w:lineRule="auto"/>
              <w:ind w:right="196"/>
            </w:pPr>
            <w:r>
              <w:rPr>
                <w:rFonts w:ascii="Times New Roman" w:eastAsia="Times New Roman" w:hAnsi="Times New Roman" w:cs="Times New Roman"/>
                <w:sz w:val="20"/>
              </w:rPr>
              <w:t xml:space="preserve">Istniejące obciążenia hipoteczne nieruchomości lub wnioski  o wpis w dziale czwartym  </w:t>
            </w:r>
          </w:p>
          <w:p w:rsidR="001C505B" w:rsidRDefault="00E81E84">
            <w:r>
              <w:rPr>
                <w:rFonts w:ascii="Times New Roman" w:eastAsia="Times New Roman" w:hAnsi="Times New Roman" w:cs="Times New Roman"/>
                <w:sz w:val="20"/>
              </w:rPr>
              <w:t xml:space="preserve">księgi wieczystej </w:t>
            </w:r>
          </w:p>
        </w:tc>
        <w:tc>
          <w:tcPr>
            <w:tcW w:w="6674" w:type="dxa"/>
            <w:tcBorders>
              <w:top w:val="single" w:sz="4" w:space="0" w:color="000000"/>
              <w:left w:val="single" w:sz="4" w:space="0" w:color="000000"/>
              <w:bottom w:val="single" w:sz="4" w:space="0" w:color="000000"/>
              <w:right w:val="single" w:sz="4" w:space="0" w:color="000000"/>
            </w:tcBorders>
          </w:tcPr>
          <w:p w:rsidR="001C505B" w:rsidRDefault="00E81E84">
            <w:pPr>
              <w:ind w:left="2"/>
            </w:pPr>
            <w:r w:rsidRPr="00556D59">
              <w:rPr>
                <w:rFonts w:ascii="Times New Roman" w:eastAsia="Times New Roman" w:hAnsi="Times New Roman" w:cs="Times New Roman"/>
                <w:color w:val="0070C0"/>
                <w:sz w:val="20"/>
              </w:rPr>
              <w:t xml:space="preserve"> </w:t>
            </w:r>
            <w:r w:rsidR="00556D59" w:rsidRPr="00556D59">
              <w:rPr>
                <w:rFonts w:ascii="Times New Roman" w:eastAsia="Times New Roman" w:hAnsi="Times New Roman" w:cs="Times New Roman"/>
                <w:bCs/>
                <w:color w:val="0070C0"/>
                <w:sz w:val="20"/>
              </w:rPr>
              <w:t>brak</w:t>
            </w:r>
          </w:p>
        </w:tc>
      </w:tr>
    </w:tbl>
    <w:p w:rsidR="001C505B" w:rsidRDefault="00E81E84">
      <w:pPr>
        <w:spacing w:after="0"/>
      </w:pPr>
      <w:r>
        <w:rPr>
          <w:rFonts w:ascii="Times New Roman" w:eastAsia="Times New Roman" w:hAnsi="Times New Roman" w:cs="Times New Roman"/>
          <w:sz w:val="20"/>
        </w:rPr>
        <w:t xml:space="preserve"> </w:t>
      </w:r>
    </w:p>
    <w:p w:rsidR="001C505B" w:rsidRDefault="00E81E84">
      <w:pPr>
        <w:spacing w:after="0"/>
      </w:pPr>
      <w:r>
        <w:rPr>
          <w:rFonts w:ascii="Times New Roman" w:eastAsia="Times New Roman" w:hAnsi="Times New Roman" w:cs="Times New Roman"/>
          <w:sz w:val="20"/>
        </w:rPr>
        <w:t xml:space="preserve"> </w:t>
      </w:r>
    </w:p>
    <w:p w:rsidR="001C505B" w:rsidRDefault="00E81E84">
      <w:pPr>
        <w:spacing w:after="2"/>
      </w:pPr>
      <w:r>
        <w:rPr>
          <w:rFonts w:ascii="Times New Roman" w:eastAsia="Times New Roman" w:hAnsi="Times New Roman" w:cs="Times New Roman"/>
          <w:sz w:val="20"/>
        </w:rPr>
        <w:t xml:space="preserve"> </w:t>
      </w:r>
    </w:p>
    <w:p w:rsidR="001C505B" w:rsidRDefault="00E81E84">
      <w:pPr>
        <w:tabs>
          <w:tab w:val="center" w:pos="2874"/>
        </w:tabs>
        <w:spacing w:after="52" w:line="262" w:lineRule="auto"/>
      </w:pPr>
      <w:r>
        <w:rPr>
          <w:rFonts w:ascii="Times New Roman" w:eastAsia="Times New Roman" w:hAnsi="Times New Roman" w:cs="Times New Roman"/>
          <w:sz w:val="18"/>
          <w:vertAlign w:val="superscript"/>
        </w:rPr>
        <w:t>1)</w:t>
      </w: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Jeżeli działka nie posiada adresu, należy opisowo określić jej położenie. </w:t>
      </w:r>
    </w:p>
    <w:p w:rsidR="001C505B" w:rsidRDefault="00E81E84">
      <w:pPr>
        <w:spacing w:after="406"/>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rsidR="001C505B" w:rsidRDefault="00E81E84">
      <w:pPr>
        <w:spacing w:after="0"/>
      </w:pPr>
      <w:r>
        <w:rPr>
          <w:rFonts w:ascii="Times New Roman" w:eastAsia="Times New Roman" w:hAnsi="Times New Roman" w:cs="Times New Roman"/>
          <w:strike/>
          <w:sz w:val="20"/>
        </w:rPr>
        <w:t xml:space="preserve">                                                         </w:t>
      </w:r>
      <w:r>
        <w:rPr>
          <w:rFonts w:ascii="Times New Roman" w:eastAsia="Times New Roman" w:hAnsi="Times New Roman" w:cs="Times New Roman"/>
          <w:sz w:val="20"/>
        </w:rPr>
        <w:t xml:space="preserve"> </w:t>
      </w:r>
    </w:p>
    <w:p w:rsidR="001C505B" w:rsidRDefault="00E81E84">
      <w:pPr>
        <w:spacing w:after="30" w:line="262" w:lineRule="auto"/>
        <w:ind w:left="280" w:hanging="280"/>
        <w:jc w:val="both"/>
      </w:pPr>
      <w:r>
        <w:rPr>
          <w:rFonts w:ascii="Times New Roman" w:eastAsia="Times New Roman" w:hAnsi="Times New Roman" w:cs="Times New Roman"/>
          <w:sz w:val="18"/>
          <w:vertAlign w:val="superscript"/>
        </w:rPr>
        <w:t>43)</w:t>
      </w:r>
      <w:r>
        <w:rPr>
          <w:rFonts w:ascii="Times New Roman" w:eastAsia="Times New Roman" w:hAnsi="Times New Roman" w:cs="Times New Roman"/>
          <w:sz w:val="18"/>
        </w:rPr>
        <w:t xml:space="preserve"> Część III w brzmieniu ustalonym w załączniku do ustawy z dnia 7 lipca 2023 r. o zmianie ustawy o planowaniu i zagospodarowaniu przestrzennym oraz niektórych innych ustaw (Dz. U. poz. 1688), na podstawie art. 49 tej ustawy, która weszła w życie z dniem </w:t>
      </w:r>
    </w:p>
    <w:p w:rsidR="001C505B" w:rsidRDefault="00E81E84">
      <w:pPr>
        <w:spacing w:after="0" w:line="262" w:lineRule="auto"/>
        <w:ind w:left="275" w:hanging="10"/>
        <w:jc w:val="both"/>
      </w:pPr>
      <w:r>
        <w:rPr>
          <w:rFonts w:ascii="Times New Roman" w:eastAsia="Times New Roman" w:hAnsi="Times New Roman" w:cs="Times New Roman"/>
          <w:sz w:val="18"/>
        </w:rPr>
        <w:t xml:space="preserve">24 września 2023 r. </w:t>
      </w:r>
    </w:p>
    <w:p w:rsidR="001C505B" w:rsidRDefault="00E81E84">
      <w:pPr>
        <w:spacing w:after="0"/>
      </w:pPr>
      <w:r>
        <w:rPr>
          <w:rFonts w:ascii="Times New Roman" w:eastAsia="Times New Roman" w:hAnsi="Times New Roman" w:cs="Times New Roman"/>
          <w:sz w:val="18"/>
        </w:rPr>
        <w:t xml:space="preserve"> </w:t>
      </w:r>
    </w:p>
    <w:tbl>
      <w:tblPr>
        <w:tblStyle w:val="TableGrid"/>
        <w:tblW w:w="9646" w:type="dxa"/>
        <w:tblInd w:w="6" w:type="dxa"/>
        <w:tblCellMar>
          <w:top w:w="52" w:type="dxa"/>
          <w:left w:w="107" w:type="dxa"/>
          <w:right w:w="64" w:type="dxa"/>
        </w:tblCellMar>
        <w:tblLook w:val="04A0"/>
      </w:tblPr>
      <w:tblGrid>
        <w:gridCol w:w="2307"/>
        <w:gridCol w:w="2453"/>
        <w:gridCol w:w="4886"/>
      </w:tblGrid>
      <w:tr w:rsidR="001C505B">
        <w:trPr>
          <w:trHeight w:val="1147"/>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rsidR="001C505B" w:rsidRDefault="00E81E84">
            <w:pPr>
              <w:ind w:right="444"/>
            </w:pPr>
            <w:r>
              <w:rPr>
                <w:rFonts w:ascii="Times New Roman" w:eastAsia="Times New Roman" w:hAnsi="Times New Roman" w:cs="Times New Roman"/>
                <w:sz w:val="20"/>
              </w:rPr>
              <w:t>W przypadku braku księgi wieczystej informacja o powierzchni działki i stanie prawnym nieruchomości</w:t>
            </w:r>
            <w:r>
              <w:rPr>
                <w:rFonts w:ascii="Times New Roman" w:eastAsia="Times New Roman" w:hAnsi="Times New Roman" w:cs="Times New Roman"/>
                <w:sz w:val="20"/>
                <w:vertAlign w:val="superscript"/>
              </w:rPr>
              <w:t>2)</w:t>
            </w:r>
            <w:r>
              <w:rPr>
                <w:rFonts w:ascii="Times New Roman" w:eastAsia="Times New Roman" w:hAnsi="Times New Roman" w:cs="Times New Roman"/>
                <w:sz w:val="20"/>
              </w:rPr>
              <w:t xml:space="preserve"> </w:t>
            </w:r>
          </w:p>
        </w:tc>
        <w:tc>
          <w:tcPr>
            <w:tcW w:w="6675" w:type="dxa"/>
            <w:gridSpan w:val="2"/>
            <w:tcBorders>
              <w:top w:val="single" w:sz="4" w:space="0" w:color="000000"/>
              <w:left w:val="single" w:sz="4" w:space="0" w:color="000000"/>
              <w:bottom w:val="single" w:sz="4" w:space="0" w:color="000000"/>
              <w:right w:val="single" w:sz="4" w:space="0" w:color="000000"/>
            </w:tcBorders>
          </w:tcPr>
          <w:p w:rsidR="001C505B" w:rsidRDefault="00E81E84">
            <w:pPr>
              <w:ind w:left="2"/>
            </w:pPr>
            <w:r w:rsidRPr="00556D59">
              <w:rPr>
                <w:rFonts w:ascii="Times New Roman" w:eastAsia="Times New Roman" w:hAnsi="Times New Roman" w:cs="Times New Roman"/>
                <w:color w:val="0070C0"/>
                <w:sz w:val="20"/>
              </w:rPr>
              <w:t xml:space="preserve"> </w:t>
            </w:r>
            <w:r w:rsidR="00556D59" w:rsidRPr="00556D59">
              <w:rPr>
                <w:rFonts w:ascii="Times New Roman" w:eastAsia="Times New Roman" w:hAnsi="Times New Roman" w:cs="Times New Roman"/>
                <w:color w:val="0070C0"/>
                <w:sz w:val="20"/>
              </w:rPr>
              <w:t>Nie dotyczy</w:t>
            </w:r>
          </w:p>
        </w:tc>
      </w:tr>
      <w:tr w:rsidR="001C505B">
        <w:trPr>
          <w:trHeight w:val="1148"/>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rsidR="001C505B" w:rsidRDefault="00E81E84">
            <w:pPr>
              <w:ind w:right="111"/>
              <w:jc w:val="both"/>
            </w:pPr>
            <w:r>
              <w:rPr>
                <w:rFonts w:ascii="Times New Roman" w:eastAsia="Times New Roman" w:hAnsi="Times New Roman" w:cs="Times New Roman"/>
                <w:sz w:val="20"/>
              </w:rPr>
              <w:t>Informacje dotyczące obiektów istniejących położonych w sąsiedztwie inwestycji i wpływających na warunki życia</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 xml:space="preserve"> </w:t>
            </w:r>
          </w:p>
        </w:tc>
        <w:tc>
          <w:tcPr>
            <w:tcW w:w="6675" w:type="dxa"/>
            <w:gridSpan w:val="2"/>
            <w:tcBorders>
              <w:top w:val="single" w:sz="4" w:space="0" w:color="000000"/>
              <w:left w:val="single" w:sz="4" w:space="0" w:color="000000"/>
              <w:bottom w:val="single" w:sz="4" w:space="0" w:color="000000"/>
              <w:right w:val="single" w:sz="4" w:space="0" w:color="000000"/>
            </w:tcBorders>
          </w:tcPr>
          <w:p w:rsidR="001C505B" w:rsidRDefault="00E81E84">
            <w:pPr>
              <w:ind w:left="2"/>
              <w:rPr>
                <w:rFonts w:ascii="Times New Roman" w:eastAsia="Times New Roman" w:hAnsi="Times New Roman" w:cs="Times New Roman"/>
                <w:sz w:val="20"/>
              </w:rPr>
            </w:pPr>
            <w:r>
              <w:rPr>
                <w:rFonts w:ascii="Times New Roman" w:eastAsia="Times New Roman" w:hAnsi="Times New Roman" w:cs="Times New Roman"/>
                <w:sz w:val="20"/>
              </w:rPr>
              <w:t xml:space="preserve">Uwarunkowania lokalizacji inwestycji wynikające z istniejącego stanu użytkowania terenów sąsiednich (np. z funkcji terenu, stref ochronnych, uciążliwości) </w:t>
            </w:r>
          </w:p>
          <w:p w:rsidR="00556D59" w:rsidRDefault="00556D59">
            <w:pPr>
              <w:ind w:left="2"/>
            </w:pPr>
          </w:p>
          <w:p w:rsidR="00556D59" w:rsidRDefault="00556D59">
            <w:pPr>
              <w:ind w:left="2"/>
            </w:pPr>
            <w:r w:rsidRPr="00556D59">
              <w:rPr>
                <w:color w:val="0070C0"/>
              </w:rPr>
              <w:t>Nie dotyczy</w:t>
            </w:r>
          </w:p>
        </w:tc>
      </w:tr>
      <w:tr w:rsidR="001C505B">
        <w:trPr>
          <w:trHeight w:val="458"/>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rsidR="001C505B" w:rsidRDefault="00E81E84">
            <w:pPr>
              <w:ind w:right="62"/>
            </w:pPr>
            <w:r>
              <w:rPr>
                <w:rFonts w:ascii="Times New Roman" w:eastAsia="Times New Roman" w:hAnsi="Times New Roman" w:cs="Times New Roman"/>
                <w:sz w:val="20"/>
              </w:rPr>
              <w:t xml:space="preserve">Akty planowania przestrzennego i inne akty prawne na terenie objętym przedsięwzięciem deweloperskim lub zadaniem inwestycyjnym </w:t>
            </w:r>
          </w:p>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rPr>
                <w:rFonts w:ascii="Times New Roman" w:eastAsia="Times New Roman" w:hAnsi="Times New Roman" w:cs="Times New Roman"/>
                <w:sz w:val="20"/>
              </w:rPr>
            </w:pPr>
            <w:r>
              <w:rPr>
                <w:rFonts w:ascii="Times New Roman" w:eastAsia="Times New Roman" w:hAnsi="Times New Roman" w:cs="Times New Roman"/>
                <w:sz w:val="20"/>
              </w:rPr>
              <w:t xml:space="preserve">Plan ogólny gminy </w:t>
            </w:r>
          </w:p>
          <w:p w:rsidR="00556D59" w:rsidRDefault="00556D59">
            <w:pPr>
              <w:ind w:left="2"/>
            </w:pPr>
          </w:p>
        </w:tc>
        <w:tc>
          <w:tcPr>
            <w:tcW w:w="3419" w:type="dxa"/>
            <w:vMerge w:val="restart"/>
            <w:tcBorders>
              <w:top w:val="single" w:sz="4" w:space="0" w:color="000000"/>
              <w:left w:val="single" w:sz="4" w:space="0" w:color="000000"/>
              <w:bottom w:val="single" w:sz="4" w:space="0" w:color="000000"/>
              <w:right w:val="single" w:sz="4" w:space="0" w:color="000000"/>
            </w:tcBorders>
          </w:tcPr>
          <w:p w:rsidR="001C505B" w:rsidRDefault="00E81E84">
            <w:pPr>
              <w:ind w:left="1"/>
              <w:rPr>
                <w:rFonts w:ascii="Times New Roman" w:eastAsia="Times New Roman" w:hAnsi="Times New Roman" w:cs="Times New Roman"/>
                <w:sz w:val="20"/>
              </w:rPr>
            </w:pPr>
            <w:r>
              <w:rPr>
                <w:rFonts w:ascii="Times New Roman" w:eastAsia="Times New Roman" w:hAnsi="Times New Roman" w:cs="Times New Roman"/>
                <w:sz w:val="20"/>
              </w:rPr>
              <w:t xml:space="preserve">Numer i data aktu prawnego, nazwa organu oraz miejsce publikacji </w:t>
            </w:r>
          </w:p>
          <w:p w:rsidR="00556D59" w:rsidRDefault="00556D59">
            <w:pPr>
              <w:ind w:left="1"/>
            </w:pPr>
          </w:p>
          <w:p w:rsidR="00556D59" w:rsidRPr="00556D59" w:rsidRDefault="00556D59" w:rsidP="00556D59">
            <w:pPr>
              <w:ind w:left="1"/>
              <w:rPr>
                <w:color w:val="0070C0"/>
              </w:rPr>
            </w:pPr>
            <w:r w:rsidRPr="00556D59">
              <w:rPr>
                <w:color w:val="0070C0"/>
              </w:rPr>
              <w:t xml:space="preserve">miejscowy plan zagospodarowania przestrzennego części miejscowości Kalisz, zatwierdzony uchwałą Rady Miejskiej w Kaliszu Nr LVIII/750/2018 z dnia 27-09-2018 – opublikowany w Biuletynie Informacji Publicznej Miasta Kalisza </w:t>
            </w:r>
          </w:p>
          <w:p w:rsidR="00556D59" w:rsidRPr="00556D59" w:rsidRDefault="008C0128" w:rsidP="00556D59">
            <w:pPr>
              <w:ind w:left="1"/>
              <w:rPr>
                <w:color w:val="0070C0"/>
              </w:rPr>
            </w:pPr>
            <w:hyperlink r:id="rId10" w:history="1">
              <w:r w:rsidR="00556D59" w:rsidRPr="00556D59">
                <w:rPr>
                  <w:rStyle w:val="Hipercze"/>
                  <w:color w:val="0070C0"/>
                </w:rPr>
                <w:t>https://www.bip.kalisz.pl/uchwaly/2006_42_643.pdf</w:t>
              </w:r>
            </w:hyperlink>
          </w:p>
          <w:p w:rsidR="00556D59" w:rsidRDefault="00556D59">
            <w:pPr>
              <w:ind w:left="1"/>
            </w:pPr>
          </w:p>
        </w:tc>
      </w:tr>
      <w:tr w:rsidR="001C505B">
        <w:trPr>
          <w:trHeight w:val="722"/>
        </w:trPr>
        <w:tc>
          <w:tcPr>
            <w:tcW w:w="0" w:type="auto"/>
            <w:vMerge/>
            <w:tcBorders>
              <w:top w:val="nil"/>
              <w:left w:val="single" w:sz="4" w:space="0" w:color="000000"/>
              <w:bottom w:val="nil"/>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Miejscowy plan zagospodarowania przestrzennego </w:t>
            </w:r>
            <w:r w:rsidR="00556D59" w:rsidRPr="00556D59">
              <w:rPr>
                <w:rFonts w:ascii="Times New Roman" w:eastAsia="Times New Roman" w:hAnsi="Times New Roman" w:cs="Times New Roman"/>
                <w:color w:val="0070C0"/>
                <w:sz w:val="20"/>
              </w:rPr>
              <w:t>TAK</w:t>
            </w:r>
          </w:p>
        </w:tc>
        <w:tc>
          <w:tcPr>
            <w:tcW w:w="0" w:type="auto"/>
            <w:vMerge/>
            <w:tcBorders>
              <w:top w:val="nil"/>
              <w:left w:val="single" w:sz="4" w:space="0" w:color="000000"/>
              <w:bottom w:val="nil"/>
              <w:right w:val="single" w:sz="4" w:space="0" w:color="000000"/>
            </w:tcBorders>
          </w:tcPr>
          <w:p w:rsidR="001C505B" w:rsidRDefault="001C505B"/>
        </w:tc>
      </w:tr>
      <w:tr w:rsidR="001C505B">
        <w:trPr>
          <w:trHeight w:val="458"/>
        </w:trPr>
        <w:tc>
          <w:tcPr>
            <w:tcW w:w="0" w:type="auto"/>
            <w:vMerge/>
            <w:tcBorders>
              <w:top w:val="nil"/>
              <w:left w:val="single" w:sz="4" w:space="0" w:color="000000"/>
              <w:bottom w:val="nil"/>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Miejscowy plan odbudowy </w:t>
            </w:r>
          </w:p>
        </w:tc>
        <w:tc>
          <w:tcPr>
            <w:tcW w:w="0" w:type="auto"/>
            <w:vMerge/>
            <w:tcBorders>
              <w:top w:val="nil"/>
              <w:left w:val="single" w:sz="4" w:space="0" w:color="000000"/>
              <w:bottom w:val="nil"/>
              <w:right w:val="single" w:sz="4" w:space="0" w:color="000000"/>
            </w:tcBorders>
          </w:tcPr>
          <w:p w:rsidR="001C505B" w:rsidRDefault="001C505B"/>
        </w:tc>
      </w:tr>
      <w:tr w:rsidR="001C505B">
        <w:trPr>
          <w:trHeight w:val="459"/>
        </w:trPr>
        <w:tc>
          <w:tcPr>
            <w:tcW w:w="0" w:type="auto"/>
            <w:vMerge/>
            <w:tcBorders>
              <w:top w:val="nil"/>
              <w:left w:val="single" w:sz="4" w:space="0" w:color="000000"/>
              <w:bottom w:val="single" w:sz="4" w:space="0" w:color="000000"/>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Inne</w:t>
            </w:r>
            <w:r>
              <w:rPr>
                <w:rFonts w:ascii="Times New Roman" w:eastAsia="Times New Roman" w:hAnsi="Times New Roman" w:cs="Times New Roman"/>
                <w:sz w:val="20"/>
                <w:vertAlign w:val="superscript"/>
              </w:rPr>
              <w:t>4)</w:t>
            </w:r>
            <w:r>
              <w:rPr>
                <w:rFonts w:ascii="Times New Roman" w:eastAsia="Times New Roman" w:hAnsi="Times New Roman" w:cs="Times New Roman"/>
                <w:sz w:val="20"/>
              </w:rPr>
              <w:t xml:space="preserve"> </w:t>
            </w:r>
          </w:p>
        </w:tc>
        <w:tc>
          <w:tcPr>
            <w:tcW w:w="0" w:type="auto"/>
            <w:vMerge/>
            <w:tcBorders>
              <w:top w:val="nil"/>
              <w:left w:val="single" w:sz="4" w:space="0" w:color="000000"/>
              <w:bottom w:val="single" w:sz="4" w:space="0" w:color="000000"/>
              <w:right w:val="single" w:sz="4" w:space="0" w:color="000000"/>
            </w:tcBorders>
          </w:tcPr>
          <w:p w:rsidR="001C505B" w:rsidRDefault="001C505B"/>
        </w:tc>
      </w:tr>
      <w:tr w:rsidR="001C505B">
        <w:trPr>
          <w:trHeight w:val="459"/>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rsidR="001C505B" w:rsidRDefault="00E81E84">
            <w:pPr>
              <w:spacing w:line="274" w:lineRule="auto"/>
            </w:pPr>
            <w:r>
              <w:rPr>
                <w:rFonts w:ascii="Times New Roman" w:eastAsia="Times New Roman" w:hAnsi="Times New Roman" w:cs="Times New Roman"/>
                <w:sz w:val="20"/>
              </w:rPr>
              <w:t xml:space="preserve">Ustalenia obowiązującego miejscowego planu </w:t>
            </w:r>
          </w:p>
          <w:p w:rsidR="001C505B" w:rsidRDefault="00E81E84">
            <w:pPr>
              <w:spacing w:after="1" w:line="273" w:lineRule="auto"/>
            </w:pPr>
            <w:r>
              <w:rPr>
                <w:rFonts w:ascii="Times New Roman" w:eastAsia="Times New Roman" w:hAnsi="Times New Roman" w:cs="Times New Roman"/>
                <w:sz w:val="20"/>
              </w:rPr>
              <w:t xml:space="preserve">zagospodarowania przestrzennego dla terenu objętego </w:t>
            </w:r>
          </w:p>
          <w:p w:rsidR="001C505B" w:rsidRDefault="00E81E84">
            <w:pPr>
              <w:jc w:val="both"/>
            </w:pPr>
            <w:r>
              <w:rPr>
                <w:rFonts w:ascii="Times New Roman" w:eastAsia="Times New Roman" w:hAnsi="Times New Roman" w:cs="Times New Roman"/>
                <w:sz w:val="20"/>
              </w:rPr>
              <w:t xml:space="preserve">przedsięwzięciem </w:t>
            </w:r>
            <w:r>
              <w:rPr>
                <w:rFonts w:ascii="Times New Roman" w:eastAsia="Times New Roman" w:hAnsi="Times New Roman" w:cs="Times New Roman"/>
                <w:sz w:val="20"/>
              </w:rPr>
              <w:lastRenderedPageBreak/>
              <w:t xml:space="preserve">deweloperskim lub zadaniem inwestycyjnym </w:t>
            </w:r>
          </w:p>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lastRenderedPageBreak/>
              <w:t xml:space="preserve">Przeznaczenie terenu </w:t>
            </w:r>
          </w:p>
        </w:tc>
        <w:tc>
          <w:tcPr>
            <w:tcW w:w="3419" w:type="dxa"/>
            <w:tcBorders>
              <w:top w:val="single" w:sz="4" w:space="0" w:color="000000"/>
              <w:left w:val="single" w:sz="4" w:space="0" w:color="000000"/>
              <w:bottom w:val="single" w:sz="4" w:space="0" w:color="000000"/>
              <w:right w:val="single" w:sz="4" w:space="0" w:color="000000"/>
            </w:tcBorders>
          </w:tcPr>
          <w:p w:rsidR="00556D59" w:rsidRPr="00556D59" w:rsidRDefault="00E81E84" w:rsidP="00556D59">
            <w:pPr>
              <w:ind w:left="1"/>
              <w:rPr>
                <w:rFonts w:ascii="Times New Roman" w:eastAsia="Times New Roman" w:hAnsi="Times New Roman" w:cs="Times New Roman"/>
                <w:sz w:val="20"/>
              </w:rPr>
            </w:pPr>
            <w:r>
              <w:rPr>
                <w:rFonts w:ascii="Times New Roman" w:eastAsia="Times New Roman" w:hAnsi="Times New Roman" w:cs="Times New Roman"/>
                <w:sz w:val="20"/>
              </w:rPr>
              <w:t xml:space="preserve"> </w:t>
            </w:r>
            <w:r w:rsidR="00556D59" w:rsidRPr="00556D59">
              <w:rPr>
                <w:rFonts w:ascii="Times New Roman" w:eastAsia="Times New Roman" w:hAnsi="Times New Roman" w:cs="Times New Roman"/>
                <w:color w:val="0070C0"/>
                <w:sz w:val="20"/>
              </w:rPr>
              <w:t>1MWn, 2MWn – tereny zabudowy mieszkaniowej wielorodzinnej o niskiej intensywności.</w:t>
            </w:r>
          </w:p>
          <w:p w:rsidR="001C505B" w:rsidRDefault="001C505B">
            <w:pPr>
              <w:ind w:left="1"/>
            </w:pPr>
          </w:p>
        </w:tc>
      </w:tr>
      <w:tr w:rsidR="001C505B">
        <w:trPr>
          <w:trHeight w:val="722"/>
        </w:trPr>
        <w:tc>
          <w:tcPr>
            <w:tcW w:w="0" w:type="auto"/>
            <w:vMerge/>
            <w:tcBorders>
              <w:top w:val="nil"/>
              <w:left w:val="single" w:sz="4" w:space="0" w:color="000000"/>
              <w:bottom w:val="nil"/>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right="37"/>
            </w:pPr>
            <w:r>
              <w:rPr>
                <w:rFonts w:ascii="Times New Roman" w:eastAsia="Times New Roman" w:hAnsi="Times New Roman" w:cs="Times New Roman"/>
                <w:sz w:val="20"/>
              </w:rPr>
              <w:t xml:space="preserve">Maksymalna intensywność zabudowy </w:t>
            </w:r>
          </w:p>
        </w:tc>
        <w:tc>
          <w:tcPr>
            <w:tcW w:w="3419" w:type="dxa"/>
            <w:tcBorders>
              <w:top w:val="single" w:sz="4" w:space="0" w:color="000000"/>
              <w:left w:val="single" w:sz="4" w:space="0" w:color="000000"/>
              <w:bottom w:val="single" w:sz="4" w:space="0" w:color="000000"/>
              <w:right w:val="single" w:sz="4" w:space="0" w:color="000000"/>
            </w:tcBorders>
          </w:tcPr>
          <w:p w:rsidR="001C505B" w:rsidRDefault="00556D59">
            <w:pPr>
              <w:ind w:left="1"/>
            </w:pPr>
            <w:r w:rsidRPr="00556D59">
              <w:rPr>
                <w:rFonts w:ascii="Times New Roman" w:eastAsia="Times New Roman" w:hAnsi="Times New Roman" w:cs="Times New Roman"/>
                <w:color w:val="0070C0"/>
                <w:sz w:val="20"/>
              </w:rPr>
              <w:t>maksymalny wskaźnik intensywności zabudowy wynosi – 0,75.</w:t>
            </w:r>
          </w:p>
        </w:tc>
      </w:tr>
      <w:tr w:rsidR="001C505B">
        <w:trPr>
          <w:trHeight w:val="722"/>
        </w:trPr>
        <w:tc>
          <w:tcPr>
            <w:tcW w:w="0" w:type="auto"/>
            <w:vMerge/>
            <w:tcBorders>
              <w:top w:val="nil"/>
              <w:left w:val="single" w:sz="4" w:space="0" w:color="000000"/>
              <w:bottom w:val="nil"/>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Maksymalna i minimalna nadziemna intensywność zabudowy </w:t>
            </w:r>
          </w:p>
        </w:tc>
        <w:tc>
          <w:tcPr>
            <w:tcW w:w="3419" w:type="dxa"/>
            <w:tcBorders>
              <w:top w:val="single" w:sz="4" w:space="0" w:color="000000"/>
              <w:left w:val="single" w:sz="4" w:space="0" w:color="000000"/>
              <w:bottom w:val="single" w:sz="4" w:space="0" w:color="000000"/>
              <w:right w:val="single" w:sz="4" w:space="0" w:color="000000"/>
            </w:tcBorders>
          </w:tcPr>
          <w:p w:rsidR="001C505B" w:rsidRDefault="00E81E84">
            <w:pPr>
              <w:ind w:left="1"/>
            </w:pPr>
            <w:r>
              <w:rPr>
                <w:rFonts w:ascii="Times New Roman" w:eastAsia="Times New Roman" w:hAnsi="Times New Roman" w:cs="Times New Roman"/>
                <w:sz w:val="20"/>
              </w:rPr>
              <w:t xml:space="preserve"> </w:t>
            </w:r>
            <w:r w:rsidR="009F4C0A" w:rsidRPr="009F4C0A">
              <w:rPr>
                <w:rFonts w:ascii="Times New Roman" w:eastAsia="Times New Roman" w:hAnsi="Times New Roman" w:cs="Times New Roman"/>
                <w:color w:val="0070C0"/>
                <w:sz w:val="20"/>
              </w:rPr>
              <w:t>brak</w:t>
            </w:r>
          </w:p>
        </w:tc>
      </w:tr>
      <w:tr w:rsidR="001C505B">
        <w:trPr>
          <w:trHeight w:val="460"/>
        </w:trPr>
        <w:tc>
          <w:tcPr>
            <w:tcW w:w="0" w:type="auto"/>
            <w:vMerge/>
            <w:tcBorders>
              <w:top w:val="nil"/>
              <w:left w:val="single" w:sz="4" w:space="0" w:color="000000"/>
              <w:bottom w:val="nil"/>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Maksymalna powierzchnia zabudowy </w:t>
            </w:r>
          </w:p>
        </w:tc>
        <w:tc>
          <w:tcPr>
            <w:tcW w:w="3419" w:type="dxa"/>
            <w:tcBorders>
              <w:top w:val="single" w:sz="4" w:space="0" w:color="000000"/>
              <w:left w:val="single" w:sz="4" w:space="0" w:color="000000"/>
              <w:bottom w:val="single" w:sz="4" w:space="0" w:color="000000"/>
              <w:right w:val="single" w:sz="4" w:space="0" w:color="000000"/>
            </w:tcBorders>
          </w:tcPr>
          <w:p w:rsidR="001C505B" w:rsidRDefault="00E81E84">
            <w:pPr>
              <w:ind w:left="1"/>
            </w:pPr>
            <w:r>
              <w:rPr>
                <w:rFonts w:ascii="Times New Roman" w:eastAsia="Times New Roman" w:hAnsi="Times New Roman" w:cs="Times New Roman"/>
                <w:sz w:val="20"/>
              </w:rPr>
              <w:t xml:space="preserve"> </w:t>
            </w:r>
            <w:r w:rsidR="00556D59" w:rsidRPr="00556D59">
              <w:rPr>
                <w:rFonts w:ascii="Times New Roman" w:eastAsia="Times New Roman" w:hAnsi="Times New Roman" w:cs="Times New Roman"/>
                <w:color w:val="0070C0"/>
                <w:sz w:val="20"/>
              </w:rPr>
              <w:t>maksymalny wskaźnik zabudowy działki wynosi – 0,45,</w:t>
            </w:r>
          </w:p>
        </w:tc>
      </w:tr>
      <w:tr w:rsidR="001C505B">
        <w:trPr>
          <w:trHeight w:val="458"/>
        </w:trPr>
        <w:tc>
          <w:tcPr>
            <w:tcW w:w="0" w:type="auto"/>
            <w:vMerge/>
            <w:tcBorders>
              <w:top w:val="nil"/>
              <w:left w:val="single" w:sz="4" w:space="0" w:color="000000"/>
              <w:bottom w:val="nil"/>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Maksymalna wysokość zabudowy </w:t>
            </w:r>
          </w:p>
        </w:tc>
        <w:tc>
          <w:tcPr>
            <w:tcW w:w="3419" w:type="dxa"/>
            <w:tcBorders>
              <w:top w:val="single" w:sz="4" w:space="0" w:color="000000"/>
              <w:left w:val="single" w:sz="4" w:space="0" w:color="000000"/>
              <w:bottom w:val="single" w:sz="4" w:space="0" w:color="000000"/>
              <w:right w:val="single" w:sz="4" w:space="0" w:color="000000"/>
            </w:tcBorders>
          </w:tcPr>
          <w:p w:rsidR="001C505B" w:rsidRDefault="00E81E84">
            <w:pPr>
              <w:ind w:left="1"/>
            </w:pPr>
            <w:r>
              <w:rPr>
                <w:rFonts w:ascii="Times New Roman" w:eastAsia="Times New Roman" w:hAnsi="Times New Roman" w:cs="Times New Roman"/>
                <w:sz w:val="20"/>
              </w:rPr>
              <w:t xml:space="preserve"> </w:t>
            </w:r>
            <w:r w:rsidR="00556D59" w:rsidRPr="00556D59">
              <w:rPr>
                <w:rFonts w:ascii="Times New Roman" w:eastAsia="Times New Roman" w:hAnsi="Times New Roman" w:cs="Times New Roman"/>
                <w:color w:val="0070C0"/>
                <w:sz w:val="20"/>
              </w:rPr>
              <w:t>Wysokość zabudowy nie może przekroczyć trzech kondygnacji nadziemnych, to jest parter, piętro i poddasze użytkowe oraz nie może przekraczać 15 m</w:t>
            </w:r>
          </w:p>
        </w:tc>
      </w:tr>
      <w:tr w:rsidR="001C505B">
        <w:trPr>
          <w:trHeight w:val="722"/>
        </w:trPr>
        <w:tc>
          <w:tcPr>
            <w:tcW w:w="0" w:type="auto"/>
            <w:vMerge/>
            <w:tcBorders>
              <w:top w:val="nil"/>
              <w:left w:val="single" w:sz="4" w:space="0" w:color="000000"/>
              <w:bottom w:val="nil"/>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Minimalny udział procentowy powierzchni biologicznie czynnej </w:t>
            </w:r>
          </w:p>
        </w:tc>
        <w:tc>
          <w:tcPr>
            <w:tcW w:w="3419" w:type="dxa"/>
            <w:tcBorders>
              <w:top w:val="single" w:sz="4" w:space="0" w:color="000000"/>
              <w:left w:val="single" w:sz="4" w:space="0" w:color="000000"/>
              <w:bottom w:val="single" w:sz="4" w:space="0" w:color="000000"/>
              <w:right w:val="single" w:sz="4" w:space="0" w:color="000000"/>
            </w:tcBorders>
          </w:tcPr>
          <w:p w:rsidR="001C505B" w:rsidRDefault="00E81E84">
            <w:pPr>
              <w:ind w:left="1"/>
            </w:pPr>
            <w:r>
              <w:rPr>
                <w:rFonts w:ascii="Times New Roman" w:eastAsia="Times New Roman" w:hAnsi="Times New Roman" w:cs="Times New Roman"/>
                <w:sz w:val="20"/>
              </w:rPr>
              <w:t xml:space="preserve"> </w:t>
            </w:r>
            <w:r w:rsidR="009F4C0A" w:rsidRPr="009F4C0A">
              <w:rPr>
                <w:rFonts w:ascii="Times New Roman" w:eastAsia="Times New Roman" w:hAnsi="Times New Roman" w:cs="Times New Roman"/>
                <w:color w:val="0070C0"/>
                <w:sz w:val="20"/>
              </w:rPr>
              <w:t>ustala się przeznaczenie co najmniej 20% terenu, jako powierzchni biologicznie czynnej</w:t>
            </w:r>
          </w:p>
        </w:tc>
      </w:tr>
      <w:tr w:rsidR="001C505B">
        <w:trPr>
          <w:trHeight w:val="724"/>
        </w:trPr>
        <w:tc>
          <w:tcPr>
            <w:tcW w:w="0" w:type="auto"/>
            <w:vMerge/>
            <w:tcBorders>
              <w:top w:val="nil"/>
              <w:left w:val="single" w:sz="4" w:space="0" w:color="000000"/>
              <w:bottom w:val="nil"/>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right="855"/>
            </w:pPr>
            <w:r>
              <w:rPr>
                <w:rFonts w:ascii="Times New Roman" w:eastAsia="Times New Roman" w:hAnsi="Times New Roman" w:cs="Times New Roman"/>
                <w:sz w:val="20"/>
              </w:rPr>
              <w:t xml:space="preserve">Minimalna liczba miejsc do parkowania </w:t>
            </w:r>
          </w:p>
        </w:tc>
        <w:tc>
          <w:tcPr>
            <w:tcW w:w="3419" w:type="dxa"/>
            <w:tcBorders>
              <w:top w:val="single" w:sz="4" w:space="0" w:color="000000"/>
              <w:left w:val="single" w:sz="4" w:space="0" w:color="000000"/>
              <w:bottom w:val="single" w:sz="4" w:space="0" w:color="000000"/>
              <w:right w:val="single" w:sz="4" w:space="0" w:color="000000"/>
            </w:tcBorders>
          </w:tcPr>
          <w:p w:rsidR="00962C7B" w:rsidRPr="00962C7B" w:rsidRDefault="00962C7B" w:rsidP="00962C7B">
            <w:pPr>
              <w:pStyle w:val="Akapitzlist"/>
              <w:numPr>
                <w:ilvl w:val="0"/>
                <w:numId w:val="12"/>
              </w:numPr>
              <w:ind w:left="363" w:hanging="283"/>
              <w:jc w:val="both"/>
              <w:rPr>
                <w:rFonts w:ascii="Times New Roman" w:eastAsia="Times New Roman" w:hAnsi="Times New Roman" w:cs="Times New Roman"/>
                <w:color w:val="0070C0"/>
                <w:sz w:val="20"/>
              </w:rPr>
            </w:pPr>
            <w:r w:rsidRPr="00962C7B">
              <w:rPr>
                <w:rFonts w:ascii="Times New Roman" w:eastAsia="Times New Roman" w:hAnsi="Times New Roman" w:cs="Times New Roman"/>
                <w:color w:val="0070C0"/>
                <w:sz w:val="20"/>
              </w:rPr>
              <w:t>Ustala się obowiązek zapewnienia poszczególnym terenom właściwej ilości stanowisk postojowych, w tym parkingów terenowych i garaży, w ilości nie mniejszej niż:</w:t>
            </w:r>
          </w:p>
          <w:p w:rsidR="00962C7B" w:rsidRDefault="00962C7B" w:rsidP="00962C7B">
            <w:pPr>
              <w:pStyle w:val="Akapitzlist"/>
              <w:numPr>
                <w:ilvl w:val="0"/>
                <w:numId w:val="11"/>
              </w:numPr>
              <w:jc w:val="both"/>
              <w:rPr>
                <w:rFonts w:ascii="Times New Roman" w:eastAsia="Times New Roman" w:hAnsi="Times New Roman" w:cs="Times New Roman"/>
                <w:color w:val="0070C0"/>
                <w:sz w:val="20"/>
              </w:rPr>
            </w:pPr>
            <w:r w:rsidRPr="00962C7B">
              <w:rPr>
                <w:rFonts w:ascii="Times New Roman" w:eastAsia="Times New Roman" w:hAnsi="Times New Roman" w:cs="Times New Roman"/>
                <w:color w:val="0070C0"/>
                <w:sz w:val="20"/>
              </w:rPr>
              <w:t xml:space="preserve">1 miejsce na mieszkanie, </w:t>
            </w:r>
          </w:p>
          <w:p w:rsidR="00962C7B" w:rsidRDefault="00962C7B" w:rsidP="00962C7B">
            <w:pPr>
              <w:pStyle w:val="Akapitzlist"/>
              <w:numPr>
                <w:ilvl w:val="0"/>
                <w:numId w:val="11"/>
              </w:numPr>
              <w:jc w:val="both"/>
              <w:rPr>
                <w:rFonts w:ascii="Times New Roman" w:eastAsia="Times New Roman" w:hAnsi="Times New Roman" w:cs="Times New Roman"/>
                <w:color w:val="0070C0"/>
                <w:sz w:val="20"/>
              </w:rPr>
            </w:pPr>
            <w:r w:rsidRPr="00962C7B">
              <w:rPr>
                <w:rFonts w:ascii="Times New Roman" w:eastAsia="Times New Roman" w:hAnsi="Times New Roman" w:cs="Times New Roman"/>
                <w:color w:val="0070C0"/>
                <w:sz w:val="20"/>
              </w:rPr>
              <w:t xml:space="preserve">1 miejsce na każde 4 miejsca noclegowe w hotelach, </w:t>
            </w:r>
          </w:p>
          <w:p w:rsidR="00962C7B" w:rsidRDefault="009F4C0A" w:rsidP="00962C7B">
            <w:pPr>
              <w:pStyle w:val="Akapitzlist"/>
              <w:numPr>
                <w:ilvl w:val="0"/>
                <w:numId w:val="11"/>
              </w:numPr>
              <w:jc w:val="both"/>
              <w:rPr>
                <w:rFonts w:ascii="Times New Roman" w:eastAsia="Times New Roman" w:hAnsi="Times New Roman" w:cs="Times New Roman"/>
                <w:color w:val="0070C0"/>
                <w:sz w:val="20"/>
              </w:rPr>
            </w:pPr>
            <w:r w:rsidRPr="00962C7B">
              <w:rPr>
                <w:rFonts w:ascii="Times New Roman" w:eastAsia="Times New Roman" w:hAnsi="Times New Roman" w:cs="Times New Roman"/>
                <w:color w:val="0070C0"/>
                <w:sz w:val="20"/>
              </w:rPr>
              <w:t xml:space="preserve">1 miejsce na każde rozpoczęte 25 m2 powierzchni </w:t>
            </w:r>
            <w:r w:rsidR="00962C7B" w:rsidRPr="00962C7B">
              <w:rPr>
                <w:rFonts w:ascii="Times New Roman" w:eastAsia="Times New Roman" w:hAnsi="Times New Roman" w:cs="Times New Roman"/>
                <w:color w:val="0070C0"/>
                <w:sz w:val="20"/>
              </w:rPr>
              <w:t xml:space="preserve">  </w:t>
            </w:r>
          </w:p>
          <w:p w:rsidR="009F4C0A" w:rsidRDefault="009F4C0A" w:rsidP="00962C7B">
            <w:pPr>
              <w:pStyle w:val="Akapitzlist"/>
              <w:numPr>
                <w:ilvl w:val="0"/>
                <w:numId w:val="11"/>
              </w:numPr>
              <w:jc w:val="both"/>
              <w:rPr>
                <w:rFonts w:ascii="Times New Roman" w:eastAsia="Times New Roman" w:hAnsi="Times New Roman" w:cs="Times New Roman"/>
                <w:color w:val="0070C0"/>
                <w:sz w:val="20"/>
              </w:rPr>
            </w:pPr>
            <w:r w:rsidRPr="00962C7B">
              <w:rPr>
                <w:rFonts w:ascii="Times New Roman" w:eastAsia="Times New Roman" w:hAnsi="Times New Roman" w:cs="Times New Roman"/>
                <w:color w:val="0070C0"/>
                <w:sz w:val="20"/>
              </w:rPr>
              <w:t xml:space="preserve">sprzedaży w obiektach handlowych, </w:t>
            </w:r>
          </w:p>
          <w:p w:rsidR="00962C7B" w:rsidRPr="00962C7B" w:rsidRDefault="009F4C0A" w:rsidP="00962C7B">
            <w:pPr>
              <w:pStyle w:val="Akapitzlist"/>
              <w:numPr>
                <w:ilvl w:val="0"/>
                <w:numId w:val="11"/>
              </w:numPr>
              <w:jc w:val="both"/>
              <w:rPr>
                <w:rFonts w:ascii="Times New Roman" w:eastAsia="Times New Roman" w:hAnsi="Times New Roman" w:cs="Times New Roman"/>
                <w:color w:val="0070C0"/>
                <w:sz w:val="20"/>
              </w:rPr>
            </w:pPr>
            <w:r w:rsidRPr="00962C7B">
              <w:rPr>
                <w:rFonts w:ascii="Times New Roman" w:hAnsi="Times New Roman" w:cs="Times New Roman"/>
                <w:color w:val="0070C0"/>
                <w:sz w:val="20"/>
                <w:szCs w:val="20"/>
              </w:rPr>
              <w:t xml:space="preserve">1 miejsce na każde rozpoczęte 25 m2 powierzchni </w:t>
            </w:r>
          </w:p>
          <w:p w:rsidR="009F4C0A" w:rsidRPr="00962C7B" w:rsidRDefault="009F4C0A" w:rsidP="00962C7B">
            <w:pPr>
              <w:pStyle w:val="Akapitzlist"/>
              <w:numPr>
                <w:ilvl w:val="0"/>
                <w:numId w:val="11"/>
              </w:numPr>
              <w:rPr>
                <w:rFonts w:ascii="Times New Roman" w:eastAsia="Times New Roman" w:hAnsi="Times New Roman" w:cs="Times New Roman"/>
                <w:color w:val="0070C0"/>
                <w:sz w:val="20"/>
              </w:rPr>
            </w:pPr>
            <w:r w:rsidRPr="00962C7B">
              <w:rPr>
                <w:rFonts w:ascii="Times New Roman" w:hAnsi="Times New Roman" w:cs="Times New Roman"/>
                <w:color w:val="0070C0"/>
                <w:sz w:val="20"/>
                <w:szCs w:val="20"/>
              </w:rPr>
              <w:t>użytkowej w budynkach zabudowy usługowej</w:t>
            </w:r>
            <w:r w:rsidRPr="00962C7B">
              <w:rPr>
                <w:rFonts w:ascii="Times New Roman" w:hAnsi="Times New Roman" w:cs="Times New Roman"/>
                <w:sz w:val="20"/>
                <w:szCs w:val="20"/>
              </w:rPr>
              <w:t xml:space="preserve">, </w:t>
            </w:r>
          </w:p>
          <w:p w:rsidR="00962C7B" w:rsidRPr="00962C7B" w:rsidRDefault="00962C7B" w:rsidP="00962C7B">
            <w:pPr>
              <w:pStyle w:val="Akapitzlist"/>
              <w:numPr>
                <w:ilvl w:val="0"/>
                <w:numId w:val="11"/>
              </w:numPr>
              <w:jc w:val="both"/>
              <w:rPr>
                <w:rFonts w:ascii="Times New Roman" w:eastAsia="Times New Roman" w:hAnsi="Times New Roman" w:cs="Times New Roman"/>
                <w:color w:val="0070C0"/>
                <w:sz w:val="20"/>
              </w:rPr>
            </w:pPr>
            <w:r w:rsidRPr="00962C7B">
              <w:rPr>
                <w:rFonts w:ascii="Times New Roman" w:hAnsi="Times New Roman" w:cs="Times New Roman"/>
                <w:color w:val="0070C0"/>
                <w:sz w:val="20"/>
                <w:szCs w:val="20"/>
              </w:rPr>
              <w:t xml:space="preserve">1 miejsce dla pojazdu osoby niepełnosprawnej na każde kolejne 25 miejsc parkingowych, lecz nie mniej niż 1 miejsce w przypadku parkingów o liczbie miejsc większej niż 10. </w:t>
            </w:r>
          </w:p>
          <w:p w:rsidR="00962C7B" w:rsidRPr="00962C7B" w:rsidRDefault="00962C7B" w:rsidP="00962C7B">
            <w:pPr>
              <w:pStyle w:val="Akapitzlist"/>
              <w:numPr>
                <w:ilvl w:val="0"/>
                <w:numId w:val="12"/>
              </w:numPr>
              <w:ind w:left="363" w:hanging="283"/>
              <w:jc w:val="both"/>
              <w:rPr>
                <w:rFonts w:ascii="Times New Roman" w:eastAsia="Times New Roman" w:hAnsi="Times New Roman" w:cs="Times New Roman"/>
                <w:color w:val="0070C0"/>
                <w:sz w:val="20"/>
              </w:rPr>
            </w:pPr>
            <w:r w:rsidRPr="00962C7B">
              <w:rPr>
                <w:rFonts w:ascii="Times New Roman" w:hAnsi="Times New Roman" w:cs="Times New Roman"/>
                <w:color w:val="0070C0"/>
                <w:sz w:val="20"/>
                <w:szCs w:val="20"/>
              </w:rPr>
              <w:t xml:space="preserve">W przypadku realizacji więcej niż jednego rodzaju zabudowy w ramach własności, ilość stanowisk postojowych określona </w:t>
            </w:r>
            <w:r>
              <w:rPr>
                <w:rFonts w:ascii="Times New Roman" w:hAnsi="Times New Roman" w:cs="Times New Roman"/>
                <w:color w:val="0070C0"/>
                <w:sz w:val="20"/>
                <w:szCs w:val="20"/>
              </w:rPr>
              <w:t>w pkt 1</w:t>
            </w:r>
            <w:r w:rsidRPr="00962C7B">
              <w:rPr>
                <w:rFonts w:ascii="Times New Roman" w:hAnsi="Times New Roman" w:cs="Times New Roman"/>
                <w:color w:val="0070C0"/>
                <w:sz w:val="20"/>
                <w:szCs w:val="20"/>
              </w:rPr>
              <w:t xml:space="preserve"> podlega zsumowaniu.</w:t>
            </w:r>
          </w:p>
        </w:tc>
      </w:tr>
      <w:tr w:rsidR="001C505B">
        <w:trPr>
          <w:trHeight w:val="722"/>
        </w:trPr>
        <w:tc>
          <w:tcPr>
            <w:tcW w:w="0" w:type="auto"/>
            <w:vMerge/>
            <w:tcBorders>
              <w:top w:val="nil"/>
              <w:left w:val="single" w:sz="4" w:space="0" w:color="000000"/>
              <w:bottom w:val="nil"/>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right="50"/>
            </w:pPr>
            <w:r>
              <w:rPr>
                <w:rFonts w:ascii="Times New Roman" w:eastAsia="Times New Roman" w:hAnsi="Times New Roman" w:cs="Times New Roman"/>
                <w:sz w:val="20"/>
              </w:rPr>
              <w:t xml:space="preserve">Warunki ochrony środowiska i zdrowia ludzi, przyrody i krajobrazu </w:t>
            </w:r>
          </w:p>
        </w:tc>
        <w:tc>
          <w:tcPr>
            <w:tcW w:w="3419" w:type="dxa"/>
            <w:tcBorders>
              <w:top w:val="single" w:sz="4" w:space="0" w:color="000000"/>
              <w:left w:val="single" w:sz="4" w:space="0" w:color="000000"/>
              <w:bottom w:val="single" w:sz="4" w:space="0" w:color="000000"/>
              <w:right w:val="single" w:sz="4" w:space="0" w:color="000000"/>
            </w:tcBorders>
          </w:tcPr>
          <w:p w:rsidR="001C505B" w:rsidRPr="00323617" w:rsidRDefault="00E81E84">
            <w:pPr>
              <w:ind w:left="1"/>
              <w:rPr>
                <w:color w:val="0070C0"/>
              </w:rPr>
            </w:pPr>
            <w:r w:rsidRPr="00323617">
              <w:rPr>
                <w:rFonts w:ascii="Times New Roman" w:eastAsia="Times New Roman" w:hAnsi="Times New Roman" w:cs="Times New Roman"/>
                <w:color w:val="0070C0"/>
                <w:sz w:val="20"/>
              </w:rPr>
              <w:t xml:space="preserve"> </w:t>
            </w:r>
            <w:r w:rsidR="00323617" w:rsidRPr="00323617">
              <w:rPr>
                <w:rFonts w:ascii="Times New Roman" w:eastAsia="Times New Roman" w:hAnsi="Times New Roman" w:cs="Times New Roman"/>
                <w:color w:val="0070C0"/>
                <w:sz w:val="20"/>
              </w:rPr>
              <w:t xml:space="preserve">Ustala się następujące zasady ochrony środowiska, przyrody i krajobrazu kulturowego: 1) uciążliwość wynikająca z charakteru prowadzonej działalności nie może przekraczać wartości dopuszczalnych na granicy własności terenu, 2) zakazuje się lokalizacji inwestycji mogących znacząco oddziaływać na środowisko, obowiązkowo wymagających sporządzenia raportu o oddziaływaniu przedsięwzięcia na środowisko, określonych w przepisach odrębnych, 3) z uwagi na położenie terenu objętego planem na obszarze występowania zbiorników wód podziemnych zakazuje się odprowadzania ścieków do wód gruntowych i powierzchniowych oraz do gruntu, 4) przed podjęciem działalności na obszarach wyznaczonych w planie, ustala się obowiązek zdjęcia warstwy próchniczej gleby z części przeznaczonej pod obiekty budowlane oraz powierzchnie utwardzone, a następnie odpowiednie jej zagospodarowanie, 5) nakazuje się utrzymywać we właściwym stanie i konserwować istniejące drzewa oraz stosować nowe nasadzenia w miejscach ubytków starych drzew, zgodnie z istniejącymi uwarunkowaniami przyrodniczymi, 6) wyznacza się odcinki dróg, wzdłuż których obowiązuje zagospodarowanie zielenią wysoką w układzie szpalerowym, zgodnie z oznaczeniem na rysunku </w:t>
            </w:r>
            <w:r w:rsidR="00323617" w:rsidRPr="00323617">
              <w:rPr>
                <w:rFonts w:ascii="Times New Roman" w:eastAsia="Times New Roman" w:hAnsi="Times New Roman" w:cs="Times New Roman"/>
                <w:color w:val="0070C0"/>
                <w:sz w:val="20"/>
              </w:rPr>
              <w:lastRenderedPageBreak/>
              <w:t xml:space="preserve">planu, 7) wyznacza się wymóg zachowania poziomów hałasu poniżej lub na poziomie dopuszczalnych w przepisach odrębnych, na terenach oznaczonych symbolami: a) MN – jak dla terenów przeznaczonych pod zabudowę mieszkaniową, b) MM oraz ZPR – jak dla terenów przeznaczonych na cele mieszkaniowo-usługowe, c) </w:t>
            </w:r>
            <w:proofErr w:type="spellStart"/>
            <w:r w:rsidR="00323617" w:rsidRPr="00323617">
              <w:rPr>
                <w:rFonts w:ascii="Times New Roman" w:eastAsia="Times New Roman" w:hAnsi="Times New Roman" w:cs="Times New Roman"/>
                <w:color w:val="0070C0"/>
                <w:sz w:val="20"/>
              </w:rPr>
              <w:t>UPo</w:t>
            </w:r>
            <w:proofErr w:type="spellEnd"/>
            <w:r w:rsidR="00323617" w:rsidRPr="00323617">
              <w:rPr>
                <w:rFonts w:ascii="Times New Roman" w:eastAsia="Times New Roman" w:hAnsi="Times New Roman" w:cs="Times New Roman"/>
                <w:color w:val="0070C0"/>
                <w:sz w:val="20"/>
              </w:rPr>
              <w:t xml:space="preserve"> i </w:t>
            </w:r>
            <w:proofErr w:type="spellStart"/>
            <w:r w:rsidR="00323617" w:rsidRPr="00323617">
              <w:rPr>
                <w:rFonts w:ascii="Times New Roman" w:eastAsia="Times New Roman" w:hAnsi="Times New Roman" w:cs="Times New Roman"/>
                <w:color w:val="0070C0"/>
                <w:sz w:val="20"/>
              </w:rPr>
              <w:t>UPp</w:t>
            </w:r>
            <w:proofErr w:type="spellEnd"/>
            <w:r w:rsidR="00323617" w:rsidRPr="00323617">
              <w:rPr>
                <w:rFonts w:ascii="Times New Roman" w:eastAsia="Times New Roman" w:hAnsi="Times New Roman" w:cs="Times New Roman"/>
                <w:color w:val="0070C0"/>
                <w:sz w:val="20"/>
              </w:rPr>
              <w:t xml:space="preserve"> – jak dla terenów przeznaczonych pod budynki związane ze stałym lub czasowym pobytem dzieci i młodzieży.</w:t>
            </w:r>
          </w:p>
        </w:tc>
      </w:tr>
      <w:tr w:rsidR="001C505B">
        <w:trPr>
          <w:trHeight w:val="1397"/>
        </w:trPr>
        <w:tc>
          <w:tcPr>
            <w:tcW w:w="0" w:type="auto"/>
            <w:vMerge/>
            <w:tcBorders>
              <w:top w:val="nil"/>
              <w:left w:val="single" w:sz="4" w:space="0" w:color="000000"/>
              <w:bottom w:val="single" w:sz="4" w:space="0" w:color="000000"/>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right="262"/>
            </w:pPr>
            <w:r>
              <w:rPr>
                <w:rFonts w:ascii="Times New Roman" w:eastAsia="Times New Roman" w:hAnsi="Times New Roman" w:cs="Times New Roman"/>
                <w:sz w:val="20"/>
              </w:rPr>
              <w:t xml:space="preserve">Wymagania dotyczące zabudowy i zagospodarowania terenu położonego na obszarach szczególnego zagrożenia powodzią </w:t>
            </w:r>
          </w:p>
        </w:tc>
        <w:tc>
          <w:tcPr>
            <w:tcW w:w="3419" w:type="dxa"/>
            <w:tcBorders>
              <w:top w:val="single" w:sz="4" w:space="0" w:color="000000"/>
              <w:left w:val="single" w:sz="4" w:space="0" w:color="000000"/>
              <w:bottom w:val="single" w:sz="4" w:space="0" w:color="000000"/>
              <w:right w:val="single" w:sz="4" w:space="0" w:color="000000"/>
            </w:tcBorders>
          </w:tcPr>
          <w:p w:rsidR="001C505B" w:rsidRPr="00323617" w:rsidRDefault="00E81E84">
            <w:pPr>
              <w:ind w:left="1"/>
              <w:rPr>
                <w:color w:val="0070C0"/>
              </w:rPr>
            </w:pPr>
            <w:r w:rsidRPr="00323617">
              <w:rPr>
                <w:rFonts w:ascii="Times New Roman" w:eastAsia="Times New Roman" w:hAnsi="Times New Roman" w:cs="Times New Roman"/>
                <w:color w:val="0070C0"/>
                <w:sz w:val="20"/>
              </w:rPr>
              <w:t xml:space="preserve"> </w:t>
            </w:r>
            <w:r w:rsidR="00323617" w:rsidRPr="00323617">
              <w:rPr>
                <w:rFonts w:ascii="Times New Roman" w:eastAsia="Times New Roman" w:hAnsi="Times New Roman" w:cs="Times New Roman"/>
                <w:color w:val="0070C0"/>
                <w:sz w:val="20"/>
              </w:rPr>
              <w:t>brak</w:t>
            </w:r>
          </w:p>
        </w:tc>
      </w:tr>
    </w:tbl>
    <w:p w:rsidR="001C505B" w:rsidRDefault="00E81E84">
      <w:pPr>
        <w:spacing w:after="0"/>
      </w:pPr>
      <w:r>
        <w:rPr>
          <w:rFonts w:ascii="Times New Roman" w:eastAsia="Times New Roman" w:hAnsi="Times New Roman" w:cs="Times New Roman"/>
          <w:strike/>
          <w:sz w:val="20"/>
        </w:rPr>
        <w:t xml:space="preserve">                                                         </w:t>
      </w:r>
      <w:r>
        <w:rPr>
          <w:rFonts w:ascii="Times New Roman" w:eastAsia="Times New Roman" w:hAnsi="Times New Roman" w:cs="Times New Roman"/>
          <w:sz w:val="20"/>
        </w:rPr>
        <w:t xml:space="preserve"> </w:t>
      </w:r>
    </w:p>
    <w:p w:rsidR="001C505B" w:rsidRDefault="00E81E84">
      <w:pPr>
        <w:numPr>
          <w:ilvl w:val="0"/>
          <w:numId w:val="2"/>
        </w:numPr>
        <w:spacing w:after="30" w:line="262" w:lineRule="auto"/>
        <w:ind w:hanging="280"/>
        <w:jc w:val="both"/>
      </w:pPr>
      <w:r>
        <w:rPr>
          <w:rFonts w:ascii="Times New Roman" w:eastAsia="Times New Roman" w:hAnsi="Times New Roman" w:cs="Times New Roman"/>
          <w:sz w:val="18"/>
        </w:rPr>
        <w:t xml:space="preserve">W szczególności imię i nazwisko albo firma właściciela lub użytkownika wieczystego oraz istniejące obciążenia na nieruchomości. </w:t>
      </w:r>
    </w:p>
    <w:p w:rsidR="001C505B" w:rsidRDefault="00E81E84">
      <w:pPr>
        <w:numPr>
          <w:ilvl w:val="0"/>
          <w:numId w:val="2"/>
        </w:numPr>
        <w:spacing w:after="30" w:line="262" w:lineRule="auto"/>
        <w:ind w:hanging="280"/>
        <w:jc w:val="both"/>
      </w:pPr>
      <w:r>
        <w:rPr>
          <w:rFonts w:ascii="Times New Roman" w:eastAsia="Times New Roman" w:hAnsi="Times New Roman" w:cs="Times New Roman"/>
          <w:sz w:val="18"/>
        </w:rPr>
        <w:t xml:space="preserve">W szczególności obiekty generujące uciążliwości zapachowe, hałasowe, świetlne. </w:t>
      </w:r>
    </w:p>
    <w:p w:rsidR="001C505B" w:rsidRDefault="00E81E84">
      <w:pPr>
        <w:numPr>
          <w:ilvl w:val="0"/>
          <w:numId w:val="2"/>
        </w:numPr>
        <w:spacing w:after="51" w:line="262" w:lineRule="auto"/>
        <w:ind w:hanging="280"/>
        <w:jc w:val="both"/>
      </w:pPr>
      <w:r>
        <w:rPr>
          <w:rFonts w:ascii="Times New Roman" w:eastAsia="Times New Roman" w:hAnsi="Times New Roman" w:cs="Times New Roman"/>
          <w:sz w:val="18"/>
        </w:rPr>
        <w:t>Akty prawne (rozporządzenia, zarządzenia, uchwały) w sprawach</w:t>
      </w:r>
      <w:r>
        <w:rPr>
          <w:rFonts w:ascii="Times New Roman" w:eastAsia="Times New Roman" w:hAnsi="Times New Roman" w:cs="Times New Roman"/>
          <w:b/>
          <w:sz w:val="18"/>
        </w:rPr>
        <w:t>:</w:t>
      </w:r>
      <w:r>
        <w:rPr>
          <w:rFonts w:ascii="Times New Roman" w:eastAsia="Times New Roman" w:hAnsi="Times New Roman" w:cs="Times New Roman"/>
          <w:sz w:val="18"/>
        </w:rPr>
        <w:t xml:space="preserve"> </w:t>
      </w:r>
    </w:p>
    <w:p w:rsidR="001C505B" w:rsidRDefault="00E81E84">
      <w:pPr>
        <w:numPr>
          <w:ilvl w:val="1"/>
          <w:numId w:val="2"/>
        </w:numPr>
        <w:spacing w:after="30" w:line="262" w:lineRule="auto"/>
        <w:ind w:left="546" w:hanging="281"/>
        <w:jc w:val="both"/>
      </w:pPr>
      <w:r>
        <w:rPr>
          <w:rFonts w:ascii="Times New Roman" w:eastAsia="Times New Roman" w:hAnsi="Times New Roman" w:cs="Times New Roman"/>
          <w:sz w:val="18"/>
        </w:rPr>
        <w:t>dotyczących Inwestycji, Inwestycji Towarzyszących oraz obszaru otoczenia CPK,</w:t>
      </w:r>
      <w:r>
        <w:rPr>
          <w:rFonts w:ascii="Times New Roman" w:eastAsia="Times New Roman" w:hAnsi="Times New Roman" w:cs="Times New Roman"/>
          <w:b/>
          <w:sz w:val="18"/>
        </w:rPr>
        <w:t xml:space="preserve"> </w:t>
      </w:r>
    </w:p>
    <w:p w:rsidR="001C505B" w:rsidRDefault="00E81E84">
      <w:pPr>
        <w:numPr>
          <w:ilvl w:val="1"/>
          <w:numId w:val="2"/>
        </w:numPr>
        <w:spacing w:after="0" w:line="262" w:lineRule="auto"/>
        <w:ind w:left="546" w:hanging="281"/>
        <w:jc w:val="both"/>
      </w:pPr>
      <w:r>
        <w:rPr>
          <w:rFonts w:ascii="Times New Roman" w:eastAsia="Times New Roman" w:hAnsi="Times New Roman" w:cs="Times New Roman"/>
          <w:sz w:val="18"/>
        </w:rPr>
        <w:t xml:space="preserve">lokalizacji inwestycji mieszkaniowej lub inwestycji towarzyszącej, </w:t>
      </w:r>
    </w:p>
    <w:p w:rsidR="001C505B" w:rsidRDefault="00E81E84">
      <w:pPr>
        <w:numPr>
          <w:ilvl w:val="1"/>
          <w:numId w:val="2"/>
        </w:numPr>
        <w:spacing w:after="30" w:line="262" w:lineRule="auto"/>
        <w:ind w:left="546" w:hanging="281"/>
        <w:jc w:val="both"/>
      </w:pPr>
      <w:r>
        <w:rPr>
          <w:rFonts w:ascii="Times New Roman" w:eastAsia="Times New Roman" w:hAnsi="Times New Roman" w:cs="Times New Roman"/>
          <w:sz w:val="18"/>
        </w:rPr>
        <w:t xml:space="preserve">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 </w:t>
      </w:r>
    </w:p>
    <w:p w:rsidR="001C505B" w:rsidRDefault="00E81E84">
      <w:pPr>
        <w:numPr>
          <w:ilvl w:val="1"/>
          <w:numId w:val="2"/>
        </w:numPr>
        <w:spacing w:after="30" w:line="262" w:lineRule="auto"/>
        <w:ind w:left="546" w:hanging="281"/>
        <w:jc w:val="both"/>
      </w:pPr>
      <w:r>
        <w:rPr>
          <w:rFonts w:ascii="Times New Roman" w:eastAsia="Times New Roman" w:hAnsi="Times New Roman" w:cs="Times New Roman"/>
          <w:sz w:val="18"/>
        </w:rPr>
        <w:t xml:space="preserve">ustanowienia strefy ochronnej terenu ochrony bezpośredniej i terenu ochrony pośredniej ujęcia wody, </w:t>
      </w:r>
    </w:p>
    <w:p w:rsidR="001C505B" w:rsidRDefault="00E81E84">
      <w:pPr>
        <w:numPr>
          <w:ilvl w:val="1"/>
          <w:numId w:val="2"/>
        </w:numPr>
        <w:spacing w:after="30" w:line="262" w:lineRule="auto"/>
        <w:ind w:left="546" w:hanging="281"/>
        <w:jc w:val="both"/>
      </w:pPr>
      <w:r>
        <w:rPr>
          <w:rFonts w:ascii="Times New Roman" w:eastAsia="Times New Roman" w:hAnsi="Times New Roman" w:cs="Times New Roman"/>
          <w:sz w:val="18"/>
        </w:rPr>
        <w:t xml:space="preserve">wyznaczenia obszarów cichych w aglomeracji lub obszarów cichych poza aglomeracją, </w:t>
      </w:r>
    </w:p>
    <w:p w:rsidR="001C505B" w:rsidRDefault="00E81E84">
      <w:pPr>
        <w:numPr>
          <w:ilvl w:val="1"/>
          <w:numId w:val="2"/>
        </w:numPr>
        <w:spacing w:after="0" w:line="262" w:lineRule="auto"/>
        <w:ind w:left="546" w:hanging="281"/>
        <w:jc w:val="both"/>
      </w:pPr>
      <w:r>
        <w:rPr>
          <w:rFonts w:ascii="Times New Roman" w:eastAsia="Times New Roman" w:hAnsi="Times New Roman" w:cs="Times New Roman"/>
          <w:sz w:val="18"/>
        </w:rPr>
        <w:t xml:space="preserve">utworzenia obszaru ograniczonego użytkowania, </w:t>
      </w:r>
    </w:p>
    <w:p w:rsidR="001C505B" w:rsidRDefault="00E81E84">
      <w:pPr>
        <w:numPr>
          <w:ilvl w:val="1"/>
          <w:numId w:val="2"/>
        </w:numPr>
        <w:spacing w:after="30" w:line="262" w:lineRule="auto"/>
        <w:ind w:left="546" w:hanging="281"/>
        <w:jc w:val="both"/>
      </w:pPr>
      <w:r>
        <w:rPr>
          <w:rFonts w:ascii="Times New Roman" w:eastAsia="Times New Roman" w:hAnsi="Times New Roman" w:cs="Times New Roman"/>
          <w:sz w:val="18"/>
        </w:rPr>
        <w:t xml:space="preserve">uznania zabytku za pomnik historii, </w:t>
      </w:r>
    </w:p>
    <w:p w:rsidR="001C505B" w:rsidRDefault="00E81E84">
      <w:pPr>
        <w:numPr>
          <w:ilvl w:val="1"/>
          <w:numId w:val="2"/>
        </w:numPr>
        <w:spacing w:after="30" w:line="262" w:lineRule="auto"/>
        <w:ind w:left="546" w:hanging="281"/>
        <w:jc w:val="both"/>
      </w:pPr>
      <w:r>
        <w:rPr>
          <w:rFonts w:ascii="Times New Roman" w:eastAsia="Times New Roman" w:hAnsi="Times New Roman" w:cs="Times New Roman"/>
          <w:sz w:val="18"/>
        </w:rPr>
        <w:t xml:space="preserve">określenia granic obszaru Pomnika Zagłady i jego strefy ochronnej, utworzenia parku kulturowego, </w:t>
      </w:r>
    </w:p>
    <w:p w:rsidR="001C505B" w:rsidRDefault="00E81E84">
      <w:pPr>
        <w:numPr>
          <w:ilvl w:val="1"/>
          <w:numId w:val="2"/>
        </w:numPr>
        <w:spacing w:after="30" w:line="262" w:lineRule="auto"/>
        <w:ind w:left="546" w:hanging="281"/>
        <w:jc w:val="both"/>
      </w:pPr>
      <w:r>
        <w:rPr>
          <w:rFonts w:ascii="Times New Roman" w:eastAsia="Times New Roman" w:hAnsi="Times New Roman" w:cs="Times New Roman"/>
          <w:sz w:val="18"/>
        </w:rPr>
        <w:t xml:space="preserve">ustalenia zasad i warunków sytuowania obiektów małej architektury, tablic reklamowych i urządzeń reklamowych oraz ogrodzeń, ich gabarytów, standardów jakościowych oraz rodzajów materiałów budowlanych. </w:t>
      </w:r>
    </w:p>
    <w:p w:rsidR="001C505B" w:rsidRDefault="001C505B">
      <w:pPr>
        <w:spacing w:after="0"/>
        <w:ind w:left="-1020" w:right="216"/>
      </w:pPr>
    </w:p>
    <w:tbl>
      <w:tblPr>
        <w:tblStyle w:val="TableGrid"/>
        <w:tblW w:w="9646" w:type="dxa"/>
        <w:tblInd w:w="6" w:type="dxa"/>
        <w:tblCellMar>
          <w:top w:w="52" w:type="dxa"/>
          <w:left w:w="107" w:type="dxa"/>
          <w:right w:w="64" w:type="dxa"/>
        </w:tblCellMar>
        <w:tblLook w:val="04A0"/>
      </w:tblPr>
      <w:tblGrid>
        <w:gridCol w:w="2971"/>
        <w:gridCol w:w="3256"/>
        <w:gridCol w:w="3419"/>
      </w:tblGrid>
      <w:tr w:rsidR="001C505B">
        <w:trPr>
          <w:trHeight w:val="986"/>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right="579"/>
            </w:pPr>
            <w:r>
              <w:rPr>
                <w:rFonts w:ascii="Times New Roman" w:eastAsia="Times New Roman" w:hAnsi="Times New Roman" w:cs="Times New Roman"/>
                <w:sz w:val="20"/>
              </w:rPr>
              <w:t xml:space="preserve">Warunki ochrony dziedzictwa kulturowego i zabytków  oraz dóbr kultury współczesnej </w:t>
            </w:r>
          </w:p>
        </w:tc>
        <w:tc>
          <w:tcPr>
            <w:tcW w:w="3419" w:type="dxa"/>
            <w:tcBorders>
              <w:top w:val="single" w:sz="4" w:space="0" w:color="000000"/>
              <w:left w:val="single" w:sz="4" w:space="0" w:color="000000"/>
              <w:bottom w:val="single" w:sz="4" w:space="0" w:color="000000"/>
              <w:right w:val="single" w:sz="4" w:space="0" w:color="000000"/>
            </w:tcBorders>
          </w:tcPr>
          <w:p w:rsidR="00323617" w:rsidRDefault="00323617">
            <w:pPr>
              <w:ind w:left="1"/>
              <w:rPr>
                <w:rFonts w:ascii="Times New Roman" w:eastAsia="Times New Roman" w:hAnsi="Times New Roman" w:cs="Times New Roman"/>
                <w:color w:val="0070C0"/>
                <w:sz w:val="20"/>
              </w:rPr>
            </w:pPr>
            <w:r w:rsidRPr="00323617">
              <w:rPr>
                <w:rFonts w:ascii="Times New Roman" w:eastAsia="Times New Roman" w:hAnsi="Times New Roman" w:cs="Times New Roman"/>
                <w:color w:val="0070C0"/>
                <w:sz w:val="20"/>
              </w:rPr>
              <w:t xml:space="preserve">Ustala się następujące obiekty zabytkowe, wpisane do ewidencji zabytków architektury i budownictwa: 1) dwór pochodzący z I poł. XIX, 2) dom nr 51, drewniany, 1933r., 3) dom nr 56, drewniany, pocz. XX w., 4) dom nr 95, murowany, ok. 1905r., 5) dom nr 22, drewniany, 1929/1930r., 6) dom nr 23, drewniany, 1926r., 7) dom nr 25, murowany, XIX/XX w., 8) dom nr 33, drewniany, ok. 1920r. 2. Remonty, przebudowy, rozbudowy, nadbudowy, zmiany funkcji obiektów, wpisanych do ewidencji zabytków, należy uzgadniać z Wojewódzkim Konserwatorem Zabytków. </w:t>
            </w:r>
          </w:p>
          <w:p w:rsidR="001C505B" w:rsidRDefault="00323617">
            <w:pPr>
              <w:ind w:left="1"/>
            </w:pPr>
            <w:r w:rsidRPr="00323617">
              <w:rPr>
                <w:rFonts w:ascii="Times New Roman" w:eastAsia="Times New Roman" w:hAnsi="Times New Roman" w:cs="Times New Roman"/>
                <w:color w:val="0070C0"/>
                <w:sz w:val="20"/>
              </w:rPr>
              <w:t xml:space="preserve">Ustala się następujące strefy ochrony konserwatorskiej: 1) strefę ochrony konserwatorskiej, która obejmuje obszar parku dworskiego z II poł. XIX w. wraz z obiektem dworskim, zgodnie z oznaczeniem na rysunku planu, w granicach której: a) wszystkie nowe inwestycje, przebudowy, rozbudowy, </w:t>
            </w:r>
            <w:r w:rsidRPr="00323617">
              <w:rPr>
                <w:rFonts w:ascii="Times New Roman" w:eastAsia="Times New Roman" w:hAnsi="Times New Roman" w:cs="Times New Roman"/>
                <w:color w:val="0070C0"/>
                <w:sz w:val="20"/>
              </w:rPr>
              <w:lastRenderedPageBreak/>
              <w:t xml:space="preserve">remonty, zmiany funkcji obiektów na tym terenie należy uzgadniać z Wojewódzkim Konserwatorem Zabytków, b) zakazuje się lokalizowania nowej zabudowy kubaturowej, c) wszelkie prace mogące wpłynąć na wygląd i kompozycję zabytkowego zespołu zieleni należy uzgadniać z Wojewódzkim Konserwatorem Zabytków, d) należy utrzymywać i konserwować zieleń aż do jej śmierci biologicznej, a powstałe ubytki uzupełniać zielenią zgodnie z istniejącymi uwarunkowaniami przyrodniczymi, e) przy uzupełnianiu drzewostanu należy uwzględniać historyczne założenie parkowe, w tym zachowanie głównych osi, rodzaj drzewostanu, a także tradycje w zakresie sztuki projektowania parków i ogrodów, 2) strefę ochrony konserwatorskiej „OW” obserwacji archeologicznej, zgodnie z oznaczeniem na rysunku planu, dla której ustala się następujące zasady ochrony: a) przed uzyskaniem pozwolenia na budowę, ustala się wymóg uzyskania wytycznych Wojewódzkiego Konserwatora Zabytków, co do konieczności prowadzenia prac ziemnych za pozwoleniem konserwatorskim, b) pozwolenie konserwatorskie na prowadzenie prac ziemnych należy uzyskać przed wydaniem pozwolenia na budowę, c) w przypadku wystąpienia zabytków i obiektów archeologicznych zostaną podjęte ratownicze badania wykopaliskowe, zgodnie z przepisami odrębnymi. </w:t>
            </w:r>
          </w:p>
        </w:tc>
      </w:tr>
      <w:tr w:rsidR="001C505B">
        <w:trPr>
          <w:trHeight w:val="1252"/>
        </w:trPr>
        <w:tc>
          <w:tcPr>
            <w:tcW w:w="0" w:type="auto"/>
            <w:vMerge/>
            <w:tcBorders>
              <w:top w:val="nil"/>
              <w:left w:val="single" w:sz="4" w:space="0" w:color="000000"/>
              <w:bottom w:val="nil"/>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right="266"/>
            </w:pPr>
            <w:r>
              <w:rPr>
                <w:rFonts w:ascii="Times New Roman" w:eastAsia="Times New Roman" w:hAnsi="Times New Roman" w:cs="Times New Roman"/>
                <w:sz w:val="20"/>
              </w:rPr>
              <w:t xml:space="preserve">Wymagania dotyczące ochrony innych terenów lub obiektów podlegających ochronie  na podstawie przepisów odrębnych </w:t>
            </w:r>
          </w:p>
        </w:tc>
        <w:tc>
          <w:tcPr>
            <w:tcW w:w="3419" w:type="dxa"/>
            <w:tcBorders>
              <w:top w:val="single" w:sz="4" w:space="0" w:color="000000"/>
              <w:left w:val="single" w:sz="4" w:space="0" w:color="000000"/>
              <w:bottom w:val="single" w:sz="4" w:space="0" w:color="000000"/>
              <w:right w:val="single" w:sz="4" w:space="0" w:color="000000"/>
            </w:tcBorders>
          </w:tcPr>
          <w:p w:rsidR="001C505B" w:rsidRDefault="00E81E84">
            <w:pPr>
              <w:ind w:left="1"/>
              <w:rPr>
                <w:rFonts w:ascii="Times New Roman" w:eastAsia="Times New Roman" w:hAnsi="Times New Roman" w:cs="Times New Roman"/>
                <w:color w:val="0070C0"/>
                <w:sz w:val="20"/>
              </w:rPr>
            </w:pPr>
            <w:r w:rsidRPr="00691CD8">
              <w:rPr>
                <w:rFonts w:ascii="Times New Roman" w:eastAsia="Times New Roman" w:hAnsi="Times New Roman" w:cs="Times New Roman"/>
                <w:color w:val="0070C0"/>
                <w:sz w:val="20"/>
              </w:rPr>
              <w:t xml:space="preserve"> </w:t>
            </w:r>
            <w:r w:rsidR="00691CD8" w:rsidRPr="00691CD8">
              <w:rPr>
                <w:rFonts w:ascii="Times New Roman" w:eastAsia="Times New Roman" w:hAnsi="Times New Roman" w:cs="Times New Roman"/>
                <w:color w:val="0070C0"/>
                <w:sz w:val="20"/>
              </w:rPr>
              <w:t xml:space="preserve">Ustala się następujące strefy ochrony konserwatorskiej: 1) strefę ochrony konserwatorskiej, która obejmuje obszar parku dworskiego z II poł. XIX w. wraz z obiektem dworskim, zgodnie z oznaczeniem na rysunku planu, w granicach której: a) wszystkie nowe inwestycje, przebudowy, rozbudowy, remonty, zmiany funkcji obiektów na tym terenie należy uzgadniać z Wojewódzkim Konserwatorem Zabytków, b) zakazuje się lokalizowania nowej zabudowy kubaturowej, c) wszelkie prace mogące wpłynąć na wygląd i kompozycję zabytkowego zespołu zieleni należy uzgadniać z Wojewódzkim </w:t>
            </w:r>
            <w:r w:rsidR="00691CD8" w:rsidRPr="00691CD8">
              <w:rPr>
                <w:rFonts w:ascii="Times New Roman" w:eastAsia="Times New Roman" w:hAnsi="Times New Roman" w:cs="Times New Roman"/>
                <w:color w:val="0070C0"/>
                <w:sz w:val="20"/>
              </w:rPr>
              <w:lastRenderedPageBreak/>
              <w:t>Konserwatorem Zabytków, d) należy utrzymywać i konserwować zieleń aż do jej śmierci biologicznej, a powstałe ubytki uzupełniać zielenią zgodnie z istniejącymi uwarunkowaniami przyrodniczymi, e) przy uzupełnianiu drzewostanu należy uwzględniać historyczne założenie parkowe, w tym zachowanie głównych osi, rodzaj drzewostanu, a także tradycje w zakresie sztuki projektowania parków i ogrodów, 2) strefę ochrony konserwatorskiej „OW” obserwacji archeologicznej, zgodnie z oznaczeniem na rysunku planu, dla której ustala się następujące zasady ochrony: a) przed uzyskaniem pozwolenia na budowę, ustala się wymóg uzyskania wytycznych Wojewódzkiego Konserwatora Zabytków, co do konieczności prowadzenia prac ziemnych za pozwoleniem konserwatorskim, b) pozwolenie konserwatorskie na prowadzenie prac ziemnych należy uzyskać przed wydaniem pozwolenia na budowę, c) w przypadku wystąpienia zabytków i obiektów archeologicznych zostaną podjęte ratownicze badania wykopaliskowe, zgodnie z przepisami odrębnymi.</w:t>
            </w:r>
          </w:p>
          <w:p w:rsidR="00691CD8" w:rsidRDefault="00691CD8">
            <w:pPr>
              <w:ind w:left="1"/>
              <w:rPr>
                <w:rFonts w:eastAsia="Times New Roman"/>
                <w:color w:val="0070C0"/>
              </w:rPr>
            </w:pPr>
          </w:p>
          <w:p w:rsidR="00691CD8" w:rsidRDefault="00691CD8">
            <w:pPr>
              <w:ind w:left="1"/>
            </w:pPr>
            <w:r w:rsidRPr="00691CD8">
              <w:rPr>
                <w:color w:val="0070C0"/>
              </w:rPr>
              <w:t xml:space="preserve">Na obszarze objętym planem wyznacza się następujące tereny podlegające ochronie: 1) obiekty zabytkowe wpisane do ewidencji zabytków, 2) tereny położone w zasięgu strefy ochrony konserwatorskiej, obejmującej obszar parku dworskiego z II poł. XIX w. wraz z obiektem dworskim, 3) tereny położone w zasięgu strefy ochrony konserwatorskiej „OW” – obserwacji archeologicznej. 2. Sposoby zagospodarowania terenów lub obiektów podlegających ochronie określono odpowiednio: 1) w § 7 niniejszej uchwały dla obiektów zabytkowych wpisanych do ewidencji zabytków, 2) w § 8 niniejszej uchwały dla strefy ochrony konserwatorskiej, obejmującej obszar parku </w:t>
            </w:r>
            <w:r w:rsidRPr="00691CD8">
              <w:rPr>
                <w:color w:val="0070C0"/>
              </w:rPr>
              <w:lastRenderedPageBreak/>
              <w:t>dworskiego z II poł. XIX w. wraz z obiektem dworskim, 3) w § 8 niniejszej uchwały dla strefy ochrony konserwatorskiej „OW” – obserwacji archeologicznej.</w:t>
            </w:r>
          </w:p>
        </w:tc>
      </w:tr>
      <w:tr w:rsidR="001C505B">
        <w:trPr>
          <w:trHeight w:val="722"/>
        </w:trPr>
        <w:tc>
          <w:tcPr>
            <w:tcW w:w="0" w:type="auto"/>
            <w:vMerge/>
            <w:tcBorders>
              <w:top w:val="nil"/>
              <w:left w:val="single" w:sz="4" w:space="0" w:color="000000"/>
              <w:bottom w:val="nil"/>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Warunki i szczegółowe zasady obsługi w zakresie komunikacji </w:t>
            </w:r>
          </w:p>
        </w:tc>
        <w:tc>
          <w:tcPr>
            <w:tcW w:w="3419" w:type="dxa"/>
            <w:tcBorders>
              <w:top w:val="single" w:sz="4" w:space="0" w:color="000000"/>
              <w:left w:val="single" w:sz="4" w:space="0" w:color="000000"/>
              <w:bottom w:val="single" w:sz="4" w:space="0" w:color="000000"/>
              <w:right w:val="single" w:sz="4" w:space="0" w:color="000000"/>
            </w:tcBorders>
          </w:tcPr>
          <w:p w:rsidR="001C505B" w:rsidRDefault="000368AA">
            <w:pPr>
              <w:ind w:left="1"/>
            </w:pPr>
            <w:r w:rsidRPr="000368AA">
              <w:rPr>
                <w:rFonts w:ascii="Times New Roman" w:eastAsia="Times New Roman" w:hAnsi="Times New Roman" w:cs="Times New Roman"/>
                <w:color w:val="0070C0"/>
                <w:sz w:val="20"/>
              </w:rPr>
              <w:t xml:space="preserve">Ustala się tereny dróg publicznych, o których mowa w § 4 pkt 11, na których obowiązują następujące zasady ich zagospodarowania: 1) wyznacza się teren drogi zbiorczej o przekroju jednojezdniowym, oznaczonej na rysunku planu symbolem </w:t>
            </w:r>
            <w:proofErr w:type="spellStart"/>
            <w:r w:rsidRPr="000368AA">
              <w:rPr>
                <w:rFonts w:ascii="Times New Roman" w:eastAsia="Times New Roman" w:hAnsi="Times New Roman" w:cs="Times New Roman"/>
                <w:color w:val="0070C0"/>
                <w:sz w:val="20"/>
              </w:rPr>
              <w:t>KDz</w:t>
            </w:r>
            <w:proofErr w:type="spellEnd"/>
            <w:r w:rsidRPr="000368AA">
              <w:rPr>
                <w:rFonts w:ascii="Times New Roman" w:eastAsia="Times New Roman" w:hAnsi="Times New Roman" w:cs="Times New Roman"/>
                <w:color w:val="0070C0"/>
                <w:sz w:val="20"/>
              </w:rPr>
              <w:t xml:space="preserve">, o minimalnej szerokości w liniach rozgraniczających 22,5 m, w granicach której należy zlokalizować: a) obustronne chodniki o parametrach uwzględniających możliwość poruszania się wózków inwalidzkich osób niepełnosprawnych, b) ścieżki rowerowe o parametrach uwzględniających możliwość poruszania się wózków inwalidzkich osób niepełnosprawnych o napędzie elektrycznym, c) obustronne szpalery zieleni wysokiej, 2) wyznacza się tereny dróg lokalnych, oznaczone na rysunku planu symbolami </w:t>
            </w:r>
            <w:proofErr w:type="spellStart"/>
            <w:r w:rsidRPr="000368AA">
              <w:rPr>
                <w:rFonts w:ascii="Times New Roman" w:eastAsia="Times New Roman" w:hAnsi="Times New Roman" w:cs="Times New Roman"/>
                <w:color w:val="0070C0"/>
                <w:sz w:val="20"/>
              </w:rPr>
              <w:t>KDl</w:t>
            </w:r>
            <w:proofErr w:type="spellEnd"/>
            <w:r w:rsidRPr="000368AA">
              <w:rPr>
                <w:rFonts w:ascii="Times New Roman" w:eastAsia="Times New Roman" w:hAnsi="Times New Roman" w:cs="Times New Roman"/>
                <w:color w:val="0070C0"/>
                <w:sz w:val="20"/>
              </w:rPr>
              <w:t xml:space="preserve"> 1 - </w:t>
            </w:r>
            <w:proofErr w:type="spellStart"/>
            <w:r w:rsidRPr="000368AA">
              <w:rPr>
                <w:rFonts w:ascii="Times New Roman" w:eastAsia="Times New Roman" w:hAnsi="Times New Roman" w:cs="Times New Roman"/>
                <w:color w:val="0070C0"/>
                <w:sz w:val="20"/>
              </w:rPr>
              <w:t>KDl</w:t>
            </w:r>
            <w:proofErr w:type="spellEnd"/>
            <w:r w:rsidRPr="000368AA">
              <w:rPr>
                <w:rFonts w:ascii="Times New Roman" w:eastAsia="Times New Roman" w:hAnsi="Times New Roman" w:cs="Times New Roman"/>
                <w:color w:val="0070C0"/>
                <w:sz w:val="20"/>
              </w:rPr>
              <w:t xml:space="preserve"> 5 o minimalnej szerokości w liniach rozgraniczających 12m lub innej - zgodnie z oznaczeniem na rysunku planu, 3) wyznacza się tereny dróg dojazdowych, oznaczone na rysunku planu symbolami </w:t>
            </w:r>
            <w:proofErr w:type="spellStart"/>
            <w:r w:rsidRPr="000368AA">
              <w:rPr>
                <w:rFonts w:ascii="Times New Roman" w:eastAsia="Times New Roman" w:hAnsi="Times New Roman" w:cs="Times New Roman"/>
                <w:color w:val="0070C0"/>
                <w:sz w:val="20"/>
              </w:rPr>
              <w:t>KDd</w:t>
            </w:r>
            <w:proofErr w:type="spellEnd"/>
            <w:r w:rsidRPr="000368AA">
              <w:rPr>
                <w:rFonts w:ascii="Times New Roman" w:eastAsia="Times New Roman" w:hAnsi="Times New Roman" w:cs="Times New Roman"/>
                <w:color w:val="0070C0"/>
                <w:sz w:val="20"/>
              </w:rPr>
              <w:t xml:space="preserve"> 1 – </w:t>
            </w:r>
            <w:proofErr w:type="spellStart"/>
            <w:r w:rsidRPr="000368AA">
              <w:rPr>
                <w:rFonts w:ascii="Times New Roman" w:eastAsia="Times New Roman" w:hAnsi="Times New Roman" w:cs="Times New Roman"/>
                <w:color w:val="0070C0"/>
                <w:sz w:val="20"/>
              </w:rPr>
              <w:t>KDd</w:t>
            </w:r>
            <w:proofErr w:type="spellEnd"/>
            <w:r w:rsidRPr="000368AA">
              <w:rPr>
                <w:rFonts w:ascii="Times New Roman" w:eastAsia="Times New Roman" w:hAnsi="Times New Roman" w:cs="Times New Roman"/>
                <w:color w:val="0070C0"/>
                <w:sz w:val="20"/>
              </w:rPr>
              <w:t xml:space="preserve"> 13 o minimalnej szerokości w liniach rozgraniczających 10m lub innej - zgodnie z oznaczeniem na rysunku planu. 2. Ustala się tereny dróg wewnętrznych, o których mowa w § 4 pkt 12, oznaczone na rysunku planu symbolami </w:t>
            </w:r>
            <w:proofErr w:type="spellStart"/>
            <w:r w:rsidRPr="000368AA">
              <w:rPr>
                <w:rFonts w:ascii="Times New Roman" w:eastAsia="Times New Roman" w:hAnsi="Times New Roman" w:cs="Times New Roman"/>
                <w:color w:val="0070C0"/>
                <w:sz w:val="20"/>
              </w:rPr>
              <w:t>KDw</w:t>
            </w:r>
            <w:proofErr w:type="spellEnd"/>
            <w:r w:rsidRPr="000368AA">
              <w:rPr>
                <w:rFonts w:ascii="Times New Roman" w:eastAsia="Times New Roman" w:hAnsi="Times New Roman" w:cs="Times New Roman"/>
                <w:color w:val="0070C0"/>
                <w:sz w:val="20"/>
              </w:rPr>
              <w:t xml:space="preserve"> 1 – </w:t>
            </w:r>
            <w:proofErr w:type="spellStart"/>
            <w:r w:rsidRPr="000368AA">
              <w:rPr>
                <w:rFonts w:ascii="Times New Roman" w:eastAsia="Times New Roman" w:hAnsi="Times New Roman" w:cs="Times New Roman"/>
                <w:color w:val="0070C0"/>
                <w:sz w:val="20"/>
              </w:rPr>
              <w:t>KDw</w:t>
            </w:r>
            <w:proofErr w:type="spellEnd"/>
            <w:r w:rsidRPr="000368AA">
              <w:rPr>
                <w:rFonts w:ascii="Times New Roman" w:eastAsia="Times New Roman" w:hAnsi="Times New Roman" w:cs="Times New Roman"/>
                <w:color w:val="0070C0"/>
                <w:sz w:val="20"/>
              </w:rPr>
              <w:t xml:space="preserve"> 50, o szerokości nie mniej niż 6 m w warunkowych liniach rozgraniczających, zapewniających dostęp do wydzielanych nieruchomości, przy czym: 1) wydzielenie dróg wewnętrznych jest obowiązujące w przypadku dokonania podziału nieruchomości zgodnie z proponowanymi w planie liniami podziału wewnętrznego nieruchomości, 2) w przypadku dokonania innego podziału nieruchomości, niż proponowany w planie - zgodnego z warunkami podziału nieruchomości określonymi w niniejszej uchwale – dopuszcza się zmianę przebiegu tych </w:t>
            </w:r>
            <w:r w:rsidRPr="000368AA">
              <w:rPr>
                <w:rFonts w:ascii="Times New Roman" w:eastAsia="Times New Roman" w:hAnsi="Times New Roman" w:cs="Times New Roman"/>
                <w:color w:val="0070C0"/>
                <w:sz w:val="20"/>
              </w:rPr>
              <w:lastRenderedPageBreak/>
              <w:t>dróg bądź odstąpienie od ich wydzielenia. 3. Wyznacza się na rysunku planu odcinki dróg, na których obowiązuje wykonanie ścieżki rowerowej.</w:t>
            </w:r>
          </w:p>
        </w:tc>
      </w:tr>
      <w:tr w:rsidR="001C505B">
        <w:trPr>
          <w:trHeight w:val="988"/>
        </w:trPr>
        <w:tc>
          <w:tcPr>
            <w:tcW w:w="0" w:type="auto"/>
            <w:vMerge/>
            <w:tcBorders>
              <w:top w:val="nil"/>
              <w:left w:val="single" w:sz="4" w:space="0" w:color="000000"/>
              <w:bottom w:val="single" w:sz="4" w:space="0" w:color="000000"/>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Warunki i szczegółowe zasady obsługi w zakresie infrastruktury technicznej </w:t>
            </w:r>
          </w:p>
        </w:tc>
        <w:tc>
          <w:tcPr>
            <w:tcW w:w="3419" w:type="dxa"/>
            <w:tcBorders>
              <w:top w:val="single" w:sz="4" w:space="0" w:color="000000"/>
              <w:left w:val="single" w:sz="4" w:space="0" w:color="000000"/>
              <w:bottom w:val="single" w:sz="4" w:space="0" w:color="000000"/>
              <w:right w:val="single" w:sz="4" w:space="0" w:color="000000"/>
            </w:tcBorders>
          </w:tcPr>
          <w:p w:rsidR="001C505B" w:rsidRDefault="00E81E84">
            <w:pPr>
              <w:ind w:left="1"/>
            </w:pPr>
            <w:r>
              <w:rPr>
                <w:rFonts w:ascii="Times New Roman" w:eastAsia="Times New Roman" w:hAnsi="Times New Roman" w:cs="Times New Roman"/>
                <w:sz w:val="20"/>
              </w:rPr>
              <w:t xml:space="preserve"> </w:t>
            </w:r>
            <w:r w:rsidR="000368AA" w:rsidRPr="000368AA">
              <w:rPr>
                <w:rFonts w:ascii="Times New Roman" w:eastAsia="Times New Roman" w:hAnsi="Times New Roman" w:cs="Times New Roman"/>
                <w:color w:val="0070C0"/>
                <w:sz w:val="20"/>
              </w:rPr>
              <w:t xml:space="preserve">Ustala się następujące ogólne zasady obsługi w zakresie infrastruktury technicznej: 1) sieci uzbrojenia technicznego należy sytuować w liniach rozgraniczających dróg, 2) w uzasadnionych względami technicznymi bądź bezpieczeństwa przypadkach, dopuszcza się usytuowanie wybranych elementów sieci poza liniami rozgraniczającymi dróg i ciągów pieszych, 3) w uzasadnionych względami technicznymi sytuacjach dopuszcza się lokalizację nadziemnych kubaturowych urządzeń infrastruktury technicznej, jako obiektów wbudowanych w budynki przeznaczenia podstawowego lub dopuszczalnego, 4) należy zapewnić dostęp do urządzeń infrastruktury technicznej, 5) na działkach o powierzchni powyżej 5000 m2 dopuszcza się możliwość realizacji niezależnych systemów zaopatrzenia w infrastrukturę techniczną, 6) w przypadku zaistnienia kolizji pomiędzy obiektami sieciowymi a projektowanym zainwestowaniem terenu, należy rozwiązać kolizje poprzez przełożenie lub kablowanie sieci, po uzgodnieniu z ich zarządcą. § 29. Ustala się następujące zasady zaopatrzenia w energię elektryczną: 1) ustala się tereny urządzeń elektroenergetycznych, oznaczone na rysunku planu symbolami E 1 - E 9, 2) ustala się obowiązek rozbudowy sieci elektroenergetycznej w sposób zapewniający obsługę wszystkich istniejących i projektowanych terenów przeznaczonych w planie do zabudowy, 3) wyznacza się strefę ochronną linii elektroenergetycznych napowietrznych wysokiego napięcia 110 </w:t>
            </w:r>
            <w:proofErr w:type="spellStart"/>
            <w:r w:rsidR="000368AA" w:rsidRPr="000368AA">
              <w:rPr>
                <w:rFonts w:ascii="Times New Roman" w:eastAsia="Times New Roman" w:hAnsi="Times New Roman" w:cs="Times New Roman"/>
                <w:color w:val="0070C0"/>
                <w:sz w:val="20"/>
              </w:rPr>
              <w:t>kV</w:t>
            </w:r>
            <w:proofErr w:type="spellEnd"/>
            <w:r w:rsidR="000368AA" w:rsidRPr="000368AA">
              <w:rPr>
                <w:rFonts w:ascii="Times New Roman" w:eastAsia="Times New Roman" w:hAnsi="Times New Roman" w:cs="Times New Roman"/>
                <w:color w:val="0070C0"/>
                <w:sz w:val="20"/>
              </w:rPr>
              <w:t xml:space="preserve">, o szerokości 25 m po każdej stronie tych linii, 4) wyznacza się strefę ochronną linii elektroenergetycznych napowietrznych średniego napięcia 15 </w:t>
            </w:r>
            <w:proofErr w:type="spellStart"/>
            <w:r w:rsidR="000368AA" w:rsidRPr="000368AA">
              <w:rPr>
                <w:rFonts w:ascii="Times New Roman" w:eastAsia="Times New Roman" w:hAnsi="Times New Roman" w:cs="Times New Roman"/>
                <w:color w:val="0070C0"/>
                <w:sz w:val="20"/>
              </w:rPr>
              <w:t>kV</w:t>
            </w:r>
            <w:proofErr w:type="spellEnd"/>
            <w:r w:rsidR="000368AA" w:rsidRPr="000368AA">
              <w:rPr>
                <w:rFonts w:ascii="Times New Roman" w:eastAsia="Times New Roman" w:hAnsi="Times New Roman" w:cs="Times New Roman"/>
                <w:color w:val="0070C0"/>
                <w:sz w:val="20"/>
              </w:rPr>
              <w:t xml:space="preserve">, o szerokości 5 m po każdej stronie tych linii, 5) dopuszcza się przełożenie lub kablowanie sieci, 6) dopuszcza się lokalizowania obiektów budowlanych oraz trwałego zagospodarowywania </w:t>
            </w:r>
            <w:r w:rsidR="000368AA" w:rsidRPr="000368AA">
              <w:rPr>
                <w:rFonts w:ascii="Times New Roman" w:eastAsia="Times New Roman" w:hAnsi="Times New Roman" w:cs="Times New Roman"/>
                <w:color w:val="0070C0"/>
                <w:sz w:val="20"/>
              </w:rPr>
              <w:lastRenderedPageBreak/>
              <w:t xml:space="preserve">terenu zielenią średnią i wysoką w obszarze strefy ochronnej sieci elektroenergetycznych w następujących przypadkach: a) jeśli sieć została skablowana lub przełożona, b) jeśli uzyskano zgodę właściciela sieci, 7) dopuszcza się lokalizację stacji transformatorowych na terenach własnych inwestora, z zapewnieniem dostępu do tych urządzeń. § 30. Ustala się następujące zasady zaopatrzenia w wodę: 1) ustala się obowiązek rozbudowy miejskiej sieci wodociągowej, w sposób zapewniający obsługę wszystkich istniejących i projektowanych terenów przeznaczonych w planie do zabudowy, 2) zaopatrzenie w wodę odbywać się będzie z istniejącego zespołu ujęć wodnych oraz stacji uzdatniania wody. § 31. Ustala się następujące zasady odprowadzenia ścieków: 1) ustala się obowiązek budowy kanalizacji sanitarnej w sposób zapewniający obsługę wszystkich istniejących i projektowanych terenów przeznaczonych w planie do zabudowy, 2) ścieki bytowe i komunalne, których dopuszczalny skład określają przepisy odrębne, należy docelowo odprowadzać poprzez sieć kanalizacji sanitarnej do oczyszczalni ścieków, 3) do czasu realizacji kanalizacji sanitarnej, ścieki bytowe należy odprowadzać do szczelnych zbiorników bezodpływowych, 4) dopuszcza się realizację niezależnych systemów kanalizacji oraz oczyszczania ścieków, zgodnie z przepisami szczególnymi niniejszej uchwały, 5) odprowadzenie ścieków pochodzenia przemysłowego i technologicznego do miejskiej sieci kanalizacji sanitarnej nastąpi po uprzednim oczyszczeniu na terenie własnym inwestora. § 32. Ustala się następujące zasady odprowadzania wód opadowych: 1) ustala się obowiązek budowy kanalizacji deszczowej w sposób zapewniający obsługę wszystkich istniejących i projektowanych terenów przeznaczonych w planie do zabudowy, 2) wody opadowe z powierzchni utwardzonych należy odprowadzać do sieci kanalizacji deszczowej, 3) ustala się, jako odbiornik wód opadowych ciek wodny </w:t>
            </w:r>
            <w:proofErr w:type="spellStart"/>
            <w:r w:rsidR="000368AA" w:rsidRPr="000368AA">
              <w:rPr>
                <w:rFonts w:ascii="Times New Roman" w:eastAsia="Times New Roman" w:hAnsi="Times New Roman" w:cs="Times New Roman"/>
                <w:color w:val="0070C0"/>
                <w:sz w:val="20"/>
              </w:rPr>
              <w:t>Piwonka</w:t>
            </w:r>
            <w:proofErr w:type="spellEnd"/>
            <w:r w:rsidR="000368AA" w:rsidRPr="000368AA">
              <w:rPr>
                <w:rFonts w:ascii="Times New Roman" w:eastAsia="Times New Roman" w:hAnsi="Times New Roman" w:cs="Times New Roman"/>
                <w:color w:val="0070C0"/>
                <w:sz w:val="20"/>
              </w:rPr>
              <w:t xml:space="preserve">, pod warunkiem </w:t>
            </w:r>
            <w:r w:rsidR="000368AA" w:rsidRPr="000368AA">
              <w:rPr>
                <w:rFonts w:ascii="Times New Roman" w:eastAsia="Times New Roman" w:hAnsi="Times New Roman" w:cs="Times New Roman"/>
                <w:color w:val="0070C0"/>
                <w:sz w:val="20"/>
              </w:rPr>
              <w:lastRenderedPageBreak/>
              <w:t xml:space="preserve">dokonania jego regulacji i dostosowania do odbioru wód opadowych, 4) dopuszcza się możliwość odprowadzenia wód opadowych bezpośrednio do rzeki Prosny, 5) wody opadowe z terenów oznaczonych na rysunku planu symbolem U i KS należy odprowadzać do sieci kanalizacji deszczowej, po uprzednim ich oczyszczeniu w stopniu zapewniającym usunięcie zawiesin ogólnych oraz substancji ropopochodnych, do wartości określonych w przepisach odrębnych, 6) do czasu rozbudowy i modernizacji istniejącego systemu kanalizacji deszczowej, wody opadowe odprowadzać należy do istniejących odcinków kanalizacji deszczowej, a z pozostałego terenu powierzchniowo do gruntu lub do istniejących wód powierzchniowych i urządzeń wodnych. § 33. Ustala się następujące zasady w zakresie usuwania odpadów stałych: 1) dla obiektów budowlanych na terenie objętym planem należy zapewnić miejsca na place pod śmietniki, 2) place pod śmietniki należy urządzić w sposób umożliwiający segregację odpadów, 3) wywóz odpadów komunalnych należy prowadzić w sposób zorganizowany, tj. przez wyspecjalizowane jednostki, do miejsca ich składowania bądź utylizacji, 4) odpady powstałe w wyniku działalności gospodarczej należy poddać odzyskowi lub unieszkodliwieniu, zgodnie z przepisami odrębnymi, 5) wytwórcy odpadów zobowiązani są do stosowania technologii minimalizujących powstawanie odpadów i ograniczających ich uciążliwość dla środowiska. § 34. Ustala się następujące zasady zaopatrzenia w ciepło: 1) obiekty należy zaopatrywać w ciepło z indywidualnych lub grupowych źródeł ciepła, w oparciu o zasilanie: a) gazem ze zbiorników stacjonarnych lub sieci gazowej, b) energią elektryczną, c) paliwami płynnymi, d) paliwami stałymi z zastosowaniem technologii o wysokiej sprawności grzewczej i niskiej emisji zanieczyszczeń do atmosfery, e) odnawialnymi źródłami energii, f) układami mieszanymi wykorzystującymi źródła energii, o których mowa w lit. a) do e), 2) zbiorniki stacjonarne na paliwo gazowe </w:t>
            </w:r>
            <w:r w:rsidR="000368AA" w:rsidRPr="000368AA">
              <w:rPr>
                <w:rFonts w:ascii="Times New Roman" w:eastAsia="Times New Roman" w:hAnsi="Times New Roman" w:cs="Times New Roman"/>
                <w:color w:val="0070C0"/>
                <w:sz w:val="20"/>
              </w:rPr>
              <w:lastRenderedPageBreak/>
              <w:t xml:space="preserve">lub olejowe należy lokalizować w granicach własności, zgodnie z przepisami odrębnymi, 3) istniejące lokalne kotłownie na paliwo stałe należy sukcesywnie zastępować nowymi, wykorzystującymi technologie grzewcze o których mowa w pkt 1. § 35. Ustala się następujące zasady zaopatrzenia w gaz: 1) ustala się możliwość budowy sieci gazowej w sposób niekolidujący z istniejącą zabudową, 2) budowa sieci gazowej i przyłączenie do niej obiektów przez przedsiębiorstwo energetyczne winno odbywać się w oparciu o przepisy odrębne, 3) dopuszcza się korzystanie ze zbiorników stacjonarnych lokalizowanych w granicach własności, zgodnie z przepisami odrębnymi. § 36. 1. Ustala się możliwość rozbudowy istniejącej sieci telekomunikacyjnej lub budowę nowej sieci telekomunikacyjnej. 2. Dopuszcza się lokalizację urządzeń przekaźnikowych telekomunikacji, w tym konstrukcji wieżowych i stacji bazowych telefonii komórkowej na terenach oznaczonych na rysunku planu symbolami U, ZP, ZL i RZ, przy czym odległość urządzenia od terenu, na którym plan przewiduje lokalizację obiektów związanych ze stałym lub wielogodzinnym pobytem ludzi, zgodnie z przepisami odrębnymi, musi być większa niż zasięg oddziaływania określony w raporcie oddziaływania przedsięwzięcia na środowisko, pod warunkiem uzyskania uzgodnień przewidzianych w przepisach odrębnych. 3. Dopuszcza się lokalizację urządzeń, o których mowa w ust. 2, na terenie oznaczonych na rysunku planu symbolem </w:t>
            </w:r>
            <w:proofErr w:type="spellStart"/>
            <w:r w:rsidR="000368AA" w:rsidRPr="000368AA">
              <w:rPr>
                <w:rFonts w:ascii="Times New Roman" w:eastAsia="Times New Roman" w:hAnsi="Times New Roman" w:cs="Times New Roman"/>
                <w:color w:val="0070C0"/>
                <w:sz w:val="20"/>
              </w:rPr>
              <w:t>UPr</w:t>
            </w:r>
            <w:proofErr w:type="spellEnd"/>
            <w:r w:rsidR="000368AA" w:rsidRPr="000368AA">
              <w:rPr>
                <w:rFonts w:ascii="Times New Roman" w:eastAsia="Times New Roman" w:hAnsi="Times New Roman" w:cs="Times New Roman"/>
                <w:color w:val="0070C0"/>
                <w:sz w:val="20"/>
              </w:rPr>
              <w:t>, pod warunkiem harmonijnego wkomponowania tych urządzeń w bryłę budynku.</w:t>
            </w:r>
          </w:p>
        </w:tc>
      </w:tr>
      <w:tr w:rsidR="001C505B">
        <w:trPr>
          <w:trHeight w:val="458"/>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rsidR="001C505B" w:rsidRDefault="00E81E84">
            <w:pPr>
              <w:ind w:right="50"/>
            </w:pPr>
            <w:r>
              <w:rPr>
                <w:rFonts w:ascii="Times New Roman" w:eastAsia="Times New Roman" w:hAnsi="Times New Roman" w:cs="Times New Roman"/>
                <w:sz w:val="20"/>
              </w:rPr>
              <w:lastRenderedPageBreak/>
              <w:t>Ustalenia obowiązującego miejscowego planu zagospodarowania przestrzennego dla działek lub ich fragmentów, znajdujących się w odległości do 100 m od granicy terenu objętego przedsięwzięciem deweloperskim lub zadaniem inwestycyjnym</w:t>
            </w:r>
            <w:r>
              <w:rPr>
                <w:rFonts w:ascii="Times New Roman" w:eastAsia="Times New Roman" w:hAnsi="Times New Roman" w:cs="Times New Roman"/>
                <w:sz w:val="20"/>
                <w:vertAlign w:val="superscript"/>
              </w:rPr>
              <w:footnoteReference w:id="1"/>
            </w:r>
            <w:r>
              <w:rPr>
                <w:rFonts w:ascii="Times New Roman" w:eastAsia="Times New Roman" w:hAnsi="Times New Roman" w:cs="Times New Roman"/>
                <w:sz w:val="20"/>
                <w:vertAlign w:val="superscript"/>
              </w:rPr>
              <w:t>)</w:t>
            </w:r>
            <w:r>
              <w:rPr>
                <w:rFonts w:ascii="Times New Roman" w:eastAsia="Times New Roman" w:hAnsi="Times New Roman" w:cs="Times New Roman"/>
                <w:sz w:val="20"/>
              </w:rPr>
              <w:t xml:space="preserve"> </w:t>
            </w:r>
          </w:p>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Przeznaczenie terenu </w:t>
            </w:r>
          </w:p>
        </w:tc>
        <w:tc>
          <w:tcPr>
            <w:tcW w:w="3419" w:type="dxa"/>
            <w:tcBorders>
              <w:top w:val="single" w:sz="4" w:space="0" w:color="000000"/>
              <w:left w:val="single" w:sz="4" w:space="0" w:color="000000"/>
              <w:bottom w:val="single" w:sz="4" w:space="0" w:color="000000"/>
              <w:right w:val="single" w:sz="4" w:space="0" w:color="000000"/>
            </w:tcBorders>
          </w:tcPr>
          <w:p w:rsidR="000368AA" w:rsidRPr="0014390E" w:rsidRDefault="00E81E84" w:rsidP="000368AA">
            <w:pPr>
              <w:ind w:left="1"/>
              <w:rPr>
                <w:rFonts w:ascii="Times New Roman" w:eastAsia="Times New Roman" w:hAnsi="Times New Roman" w:cs="Times New Roman"/>
                <w:color w:val="0070C0"/>
                <w:sz w:val="20"/>
              </w:rPr>
            </w:pPr>
            <w:r>
              <w:rPr>
                <w:rFonts w:ascii="Times New Roman" w:eastAsia="Times New Roman" w:hAnsi="Times New Roman" w:cs="Times New Roman"/>
                <w:sz w:val="20"/>
              </w:rPr>
              <w:t xml:space="preserve"> </w:t>
            </w:r>
            <w:r w:rsidR="000368AA" w:rsidRPr="0014390E">
              <w:rPr>
                <w:rFonts w:ascii="Times New Roman" w:eastAsia="Times New Roman" w:hAnsi="Times New Roman" w:cs="Times New Roman"/>
                <w:color w:val="0070C0"/>
                <w:sz w:val="20"/>
              </w:rPr>
              <w:t>- tereny zabudowy mieszkaniowej jednorodzinnej</w:t>
            </w:r>
          </w:p>
          <w:p w:rsidR="000368AA" w:rsidRPr="000368AA" w:rsidRDefault="000368AA" w:rsidP="000368AA">
            <w:pPr>
              <w:ind w:left="1"/>
              <w:rPr>
                <w:rFonts w:ascii="Times New Roman" w:eastAsia="Times New Roman" w:hAnsi="Times New Roman" w:cs="Times New Roman"/>
                <w:color w:val="0070C0"/>
                <w:sz w:val="20"/>
              </w:rPr>
            </w:pPr>
            <w:r w:rsidRPr="000368AA">
              <w:rPr>
                <w:rFonts w:ascii="Times New Roman" w:eastAsia="Times New Roman" w:hAnsi="Times New Roman" w:cs="Times New Roman"/>
                <w:color w:val="0070C0"/>
                <w:sz w:val="20"/>
              </w:rPr>
              <w:t>- teren usług publicznych</w:t>
            </w:r>
          </w:p>
          <w:p w:rsidR="000368AA" w:rsidRPr="000368AA" w:rsidRDefault="000368AA" w:rsidP="000368AA">
            <w:pPr>
              <w:ind w:left="1"/>
              <w:rPr>
                <w:rFonts w:ascii="Times New Roman" w:eastAsia="Times New Roman" w:hAnsi="Times New Roman" w:cs="Times New Roman"/>
                <w:color w:val="0070C0"/>
                <w:sz w:val="20"/>
              </w:rPr>
            </w:pPr>
            <w:r w:rsidRPr="000368AA">
              <w:rPr>
                <w:rFonts w:ascii="Times New Roman" w:eastAsia="Times New Roman" w:hAnsi="Times New Roman" w:cs="Times New Roman"/>
                <w:color w:val="0070C0"/>
                <w:sz w:val="20"/>
              </w:rPr>
              <w:t>- teren usług komercyjnych</w:t>
            </w:r>
          </w:p>
          <w:p w:rsidR="001C505B" w:rsidRDefault="001C505B">
            <w:pPr>
              <w:ind w:left="1"/>
            </w:pPr>
          </w:p>
        </w:tc>
      </w:tr>
      <w:tr w:rsidR="001C505B">
        <w:trPr>
          <w:trHeight w:val="724"/>
        </w:trPr>
        <w:tc>
          <w:tcPr>
            <w:tcW w:w="0" w:type="auto"/>
            <w:vMerge/>
            <w:tcBorders>
              <w:top w:val="nil"/>
              <w:left w:val="single" w:sz="4" w:space="0" w:color="000000"/>
              <w:bottom w:val="nil"/>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right="37"/>
            </w:pPr>
            <w:r>
              <w:rPr>
                <w:rFonts w:ascii="Times New Roman" w:eastAsia="Times New Roman" w:hAnsi="Times New Roman" w:cs="Times New Roman"/>
                <w:sz w:val="20"/>
              </w:rPr>
              <w:t xml:space="preserve">Maksymalna intensywność zabudowy </w:t>
            </w:r>
          </w:p>
        </w:tc>
        <w:tc>
          <w:tcPr>
            <w:tcW w:w="3419" w:type="dxa"/>
            <w:tcBorders>
              <w:top w:val="single" w:sz="4" w:space="0" w:color="000000"/>
              <w:left w:val="single" w:sz="4" w:space="0" w:color="000000"/>
              <w:bottom w:val="single" w:sz="4" w:space="0" w:color="000000"/>
              <w:right w:val="single" w:sz="4" w:space="0" w:color="000000"/>
            </w:tcBorders>
          </w:tcPr>
          <w:p w:rsidR="0014390E" w:rsidRDefault="00E81E84">
            <w:pPr>
              <w:ind w:left="1"/>
            </w:pPr>
            <w:r>
              <w:rPr>
                <w:rFonts w:ascii="Times New Roman" w:eastAsia="Times New Roman" w:hAnsi="Times New Roman" w:cs="Times New Roman"/>
                <w:sz w:val="20"/>
              </w:rPr>
              <w:t xml:space="preserve"> </w:t>
            </w:r>
          </w:p>
          <w:p w:rsidR="0014390E" w:rsidRDefault="0014390E" w:rsidP="0014390E">
            <w:pPr>
              <w:pStyle w:val="NormalnyWeb"/>
              <w:rPr>
                <w:rFonts w:eastAsia="Times New Roman"/>
                <w:color w:val="4472C4" w:themeColor="accent1"/>
              </w:rPr>
            </w:pPr>
            <w:r>
              <w:rPr>
                <w:color w:val="4472C4" w:themeColor="accent1"/>
              </w:rPr>
              <w:t>maksymalny </w:t>
            </w:r>
            <w:r>
              <w:rPr>
                <w:b/>
                <w:bCs/>
                <w:color w:val="4472C4" w:themeColor="accent1"/>
              </w:rPr>
              <w:t>wskaźnik zabudowy działki</w:t>
            </w:r>
            <w:r>
              <w:rPr>
                <w:color w:val="4472C4" w:themeColor="accent1"/>
              </w:rPr>
              <w:t> wynosi:</w:t>
            </w:r>
          </w:p>
          <w:p w:rsidR="0014390E" w:rsidRDefault="0014390E" w:rsidP="0014390E">
            <w:pPr>
              <w:pStyle w:val="NormalnyWeb"/>
              <w:rPr>
                <w:color w:val="4472C4" w:themeColor="accent1"/>
                <w:sz w:val="27"/>
                <w:szCs w:val="27"/>
              </w:rPr>
            </w:pPr>
            <w:r>
              <w:rPr>
                <w:color w:val="4472C4" w:themeColor="accent1"/>
              </w:rPr>
              <w:lastRenderedPageBreak/>
              <w:t>- dla zabudowy wolnostojącej – 0,25,</w:t>
            </w:r>
          </w:p>
          <w:p w:rsidR="0014390E" w:rsidRDefault="0014390E" w:rsidP="0014390E">
            <w:pPr>
              <w:pStyle w:val="western"/>
              <w:spacing w:after="0" w:afterAutospacing="0"/>
              <w:rPr>
                <w:rFonts w:ascii="Arial Narrow" w:hAnsi="Arial Narrow"/>
                <w:color w:val="4472C4" w:themeColor="accent1"/>
                <w:kern w:val="2"/>
                <w:sz w:val="28"/>
                <w:szCs w:val="28"/>
              </w:rPr>
            </w:pPr>
            <w:r>
              <w:rPr>
                <w:color w:val="4472C4" w:themeColor="accent1"/>
                <w:kern w:val="2"/>
              </w:rPr>
              <w:t>- dla zabudowy bliźniaczej – 0,30,</w:t>
            </w:r>
          </w:p>
          <w:p w:rsidR="0014390E" w:rsidRDefault="0014390E" w:rsidP="0014390E">
            <w:pPr>
              <w:pStyle w:val="NormalnyWeb"/>
              <w:rPr>
                <w:color w:val="4472C4" w:themeColor="accent1"/>
                <w:sz w:val="27"/>
                <w:szCs w:val="27"/>
              </w:rPr>
            </w:pPr>
            <w:r>
              <w:rPr>
                <w:color w:val="4472C4" w:themeColor="accent1"/>
              </w:rPr>
              <w:t>maksymalny </w:t>
            </w:r>
            <w:r>
              <w:rPr>
                <w:b/>
                <w:bCs/>
                <w:color w:val="4472C4" w:themeColor="accent1"/>
              </w:rPr>
              <w:t>wskaźnik intensywności zabudowy</w:t>
            </w:r>
            <w:r>
              <w:rPr>
                <w:color w:val="4472C4" w:themeColor="accent1"/>
              </w:rPr>
              <w:t> wynosi:</w:t>
            </w:r>
          </w:p>
          <w:p w:rsidR="0014390E" w:rsidRDefault="0014390E" w:rsidP="0014390E">
            <w:pPr>
              <w:pStyle w:val="western"/>
              <w:spacing w:after="0" w:afterAutospacing="0"/>
              <w:rPr>
                <w:rFonts w:ascii="Arial Narrow" w:hAnsi="Arial Narrow"/>
                <w:color w:val="4472C4" w:themeColor="accent1"/>
                <w:kern w:val="2"/>
                <w:sz w:val="28"/>
                <w:szCs w:val="28"/>
              </w:rPr>
            </w:pPr>
            <w:r>
              <w:rPr>
                <w:color w:val="4472C4" w:themeColor="accent1"/>
                <w:kern w:val="2"/>
              </w:rPr>
              <w:t>- dla zabudowy wolnostojącej – 0,35,</w:t>
            </w:r>
          </w:p>
          <w:p w:rsidR="0014390E" w:rsidRDefault="0014390E" w:rsidP="0014390E">
            <w:pPr>
              <w:pStyle w:val="western"/>
              <w:spacing w:after="0" w:afterAutospacing="0"/>
              <w:rPr>
                <w:rFonts w:ascii="Arial Narrow" w:hAnsi="Arial Narrow"/>
                <w:color w:val="4472C4" w:themeColor="accent1"/>
                <w:kern w:val="2"/>
                <w:sz w:val="28"/>
                <w:szCs w:val="28"/>
              </w:rPr>
            </w:pPr>
            <w:r>
              <w:rPr>
                <w:color w:val="4472C4" w:themeColor="accent1"/>
                <w:kern w:val="2"/>
              </w:rPr>
              <w:t>- dla zabudowy bliźniaczej – 0,40.</w:t>
            </w:r>
          </w:p>
          <w:p w:rsidR="001C505B" w:rsidRDefault="001C505B">
            <w:pPr>
              <w:ind w:left="1"/>
            </w:pPr>
          </w:p>
        </w:tc>
      </w:tr>
      <w:tr w:rsidR="001C505B">
        <w:trPr>
          <w:trHeight w:val="722"/>
        </w:trPr>
        <w:tc>
          <w:tcPr>
            <w:tcW w:w="0" w:type="auto"/>
            <w:vMerge/>
            <w:tcBorders>
              <w:top w:val="nil"/>
              <w:left w:val="single" w:sz="4" w:space="0" w:color="000000"/>
              <w:bottom w:val="nil"/>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Maksymalna i minimalna nadziemna intensywność zabudowy </w:t>
            </w:r>
          </w:p>
        </w:tc>
        <w:tc>
          <w:tcPr>
            <w:tcW w:w="3419" w:type="dxa"/>
            <w:tcBorders>
              <w:top w:val="single" w:sz="4" w:space="0" w:color="000000"/>
              <w:left w:val="single" w:sz="4" w:space="0" w:color="000000"/>
              <w:bottom w:val="single" w:sz="4" w:space="0" w:color="000000"/>
              <w:right w:val="single" w:sz="4" w:space="0" w:color="000000"/>
            </w:tcBorders>
          </w:tcPr>
          <w:p w:rsidR="001C505B" w:rsidRDefault="00E81E84">
            <w:pPr>
              <w:ind w:left="1"/>
            </w:pPr>
            <w:r>
              <w:rPr>
                <w:rFonts w:ascii="Times New Roman" w:eastAsia="Times New Roman" w:hAnsi="Times New Roman" w:cs="Times New Roman"/>
                <w:sz w:val="20"/>
              </w:rPr>
              <w:t xml:space="preserve"> </w:t>
            </w:r>
            <w:r w:rsidR="0014390E" w:rsidRPr="0014390E">
              <w:rPr>
                <w:rFonts w:ascii="Times New Roman" w:eastAsia="Times New Roman" w:hAnsi="Times New Roman" w:cs="Times New Roman"/>
                <w:color w:val="0070C0"/>
                <w:sz w:val="20"/>
              </w:rPr>
              <w:t>B</w:t>
            </w:r>
            <w:r w:rsidR="000368AA" w:rsidRPr="0014390E">
              <w:rPr>
                <w:rFonts w:ascii="Times New Roman" w:eastAsia="Times New Roman" w:hAnsi="Times New Roman" w:cs="Times New Roman"/>
                <w:color w:val="0070C0"/>
                <w:sz w:val="20"/>
              </w:rPr>
              <w:t>rak</w:t>
            </w:r>
          </w:p>
        </w:tc>
      </w:tr>
      <w:tr w:rsidR="001C505B">
        <w:trPr>
          <w:trHeight w:val="458"/>
        </w:trPr>
        <w:tc>
          <w:tcPr>
            <w:tcW w:w="0" w:type="auto"/>
            <w:vMerge/>
            <w:tcBorders>
              <w:top w:val="nil"/>
              <w:left w:val="single" w:sz="4" w:space="0" w:color="000000"/>
              <w:bottom w:val="nil"/>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Maksymalna powierzchnia zabudowy </w:t>
            </w:r>
          </w:p>
        </w:tc>
        <w:tc>
          <w:tcPr>
            <w:tcW w:w="3419" w:type="dxa"/>
            <w:tcBorders>
              <w:top w:val="single" w:sz="4" w:space="0" w:color="000000"/>
              <w:left w:val="single" w:sz="4" w:space="0" w:color="000000"/>
              <w:bottom w:val="single" w:sz="4" w:space="0" w:color="000000"/>
              <w:right w:val="single" w:sz="4" w:space="0" w:color="000000"/>
            </w:tcBorders>
          </w:tcPr>
          <w:p w:rsidR="0014390E" w:rsidRPr="0014390E" w:rsidRDefault="0014390E">
            <w:pPr>
              <w:ind w:left="1"/>
              <w:rPr>
                <w:rFonts w:ascii="Times New Roman" w:eastAsia="Times New Roman" w:hAnsi="Times New Roman" w:cs="Times New Roman"/>
                <w:b/>
                <w:bCs/>
                <w:color w:val="0070C0"/>
                <w:sz w:val="20"/>
              </w:rPr>
            </w:pPr>
            <w:r w:rsidRPr="0014390E">
              <w:rPr>
                <w:rFonts w:ascii="Times New Roman" w:eastAsia="Times New Roman" w:hAnsi="Times New Roman" w:cs="Times New Roman"/>
                <w:b/>
                <w:bCs/>
                <w:color w:val="0070C0"/>
                <w:sz w:val="20"/>
              </w:rPr>
              <w:t xml:space="preserve">Dla terenów zabudowy mieszkaniowej jednorodzinnej: </w:t>
            </w:r>
          </w:p>
          <w:p w:rsidR="001C505B" w:rsidRPr="0014390E" w:rsidRDefault="0014390E">
            <w:pPr>
              <w:ind w:left="1"/>
              <w:rPr>
                <w:rFonts w:ascii="Times New Roman" w:eastAsia="Times New Roman" w:hAnsi="Times New Roman" w:cs="Times New Roman"/>
                <w:color w:val="0070C0"/>
                <w:sz w:val="20"/>
              </w:rPr>
            </w:pPr>
            <w:r w:rsidRPr="0014390E">
              <w:rPr>
                <w:rFonts w:ascii="Times New Roman" w:eastAsia="Times New Roman" w:hAnsi="Times New Roman" w:cs="Times New Roman"/>
                <w:color w:val="0070C0"/>
                <w:sz w:val="20"/>
              </w:rPr>
              <w:t>maksymalny wskaźnik zabudowy działki wynosi: a) dla zabudowy wolnostojącej – 0,25, b) dla zabudowy bliźniaczej – 0,30,</w:t>
            </w:r>
          </w:p>
          <w:p w:rsidR="002A3F7A" w:rsidRDefault="0014390E">
            <w:pPr>
              <w:ind w:left="1"/>
              <w:rPr>
                <w:color w:val="0070C0"/>
              </w:rPr>
            </w:pPr>
            <w:r w:rsidRPr="0014390E">
              <w:rPr>
                <w:color w:val="0070C0"/>
              </w:rPr>
              <w:t xml:space="preserve">maksymalny wskaźnik intensywności zabudowy wynosi: </w:t>
            </w:r>
          </w:p>
          <w:p w:rsidR="002A3F7A" w:rsidRDefault="0014390E">
            <w:pPr>
              <w:ind w:left="1"/>
              <w:rPr>
                <w:color w:val="0070C0"/>
              </w:rPr>
            </w:pPr>
            <w:r w:rsidRPr="0014390E">
              <w:rPr>
                <w:color w:val="0070C0"/>
              </w:rPr>
              <w:t xml:space="preserve">dla zabudowy wolnostojącej – 0,35, </w:t>
            </w:r>
          </w:p>
          <w:p w:rsidR="0014390E" w:rsidRDefault="0014390E">
            <w:pPr>
              <w:ind w:left="1"/>
              <w:rPr>
                <w:color w:val="0070C0"/>
              </w:rPr>
            </w:pPr>
            <w:r w:rsidRPr="0014390E">
              <w:rPr>
                <w:color w:val="0070C0"/>
              </w:rPr>
              <w:t>dla zabudowy bliźniaczej – 0,40.</w:t>
            </w:r>
          </w:p>
          <w:p w:rsidR="0014390E" w:rsidRDefault="0014390E">
            <w:pPr>
              <w:ind w:left="1"/>
              <w:rPr>
                <w:color w:val="0070C0"/>
              </w:rPr>
            </w:pPr>
          </w:p>
          <w:p w:rsidR="0014390E" w:rsidRPr="0014390E" w:rsidRDefault="0014390E">
            <w:pPr>
              <w:ind w:left="1"/>
              <w:rPr>
                <w:b/>
                <w:bCs/>
                <w:color w:val="0070C0"/>
              </w:rPr>
            </w:pPr>
            <w:r w:rsidRPr="0014390E">
              <w:rPr>
                <w:b/>
                <w:bCs/>
                <w:color w:val="0070C0"/>
              </w:rPr>
              <w:t xml:space="preserve">Dla terenów </w:t>
            </w:r>
            <w:r>
              <w:rPr>
                <w:b/>
                <w:bCs/>
                <w:color w:val="0070C0"/>
              </w:rPr>
              <w:t>usług komercyjnych</w:t>
            </w:r>
            <w:r w:rsidRPr="0014390E">
              <w:rPr>
                <w:b/>
                <w:bCs/>
                <w:color w:val="0070C0"/>
              </w:rPr>
              <w:t>:</w:t>
            </w:r>
          </w:p>
          <w:p w:rsidR="002A3F7A" w:rsidRDefault="002A3F7A">
            <w:pPr>
              <w:ind w:left="1"/>
              <w:rPr>
                <w:color w:val="0070C0"/>
              </w:rPr>
            </w:pPr>
            <w:r w:rsidRPr="002A3F7A">
              <w:rPr>
                <w:color w:val="0070C0"/>
              </w:rPr>
              <w:t xml:space="preserve">maksymalny wskaźnik zabudowy działki wynosi – 0,45, </w:t>
            </w:r>
          </w:p>
          <w:p w:rsidR="0014390E" w:rsidRDefault="002A3F7A">
            <w:pPr>
              <w:ind w:left="1"/>
            </w:pPr>
            <w:r w:rsidRPr="002A3F7A">
              <w:rPr>
                <w:color w:val="0070C0"/>
              </w:rPr>
              <w:t>maksymalny wskaźnik intensywności zabudowy działki wynosi – 0,75.</w:t>
            </w:r>
          </w:p>
        </w:tc>
      </w:tr>
      <w:tr w:rsidR="001C505B">
        <w:trPr>
          <w:trHeight w:val="458"/>
        </w:trPr>
        <w:tc>
          <w:tcPr>
            <w:tcW w:w="0" w:type="auto"/>
            <w:vMerge/>
            <w:tcBorders>
              <w:top w:val="nil"/>
              <w:left w:val="single" w:sz="4" w:space="0" w:color="000000"/>
              <w:bottom w:val="nil"/>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Maksymalna wysokość zabudowy </w:t>
            </w:r>
          </w:p>
        </w:tc>
        <w:tc>
          <w:tcPr>
            <w:tcW w:w="3419" w:type="dxa"/>
            <w:tcBorders>
              <w:top w:val="single" w:sz="4" w:space="0" w:color="000000"/>
              <w:left w:val="single" w:sz="4" w:space="0" w:color="000000"/>
              <w:bottom w:val="single" w:sz="4" w:space="0" w:color="000000"/>
              <w:right w:val="single" w:sz="4" w:space="0" w:color="000000"/>
            </w:tcBorders>
          </w:tcPr>
          <w:p w:rsidR="0014390E" w:rsidRPr="0014390E" w:rsidRDefault="00E81E84" w:rsidP="0014390E">
            <w:pPr>
              <w:numPr>
                <w:ilvl w:val="0"/>
                <w:numId w:val="13"/>
              </w:numPr>
              <w:rPr>
                <w:rFonts w:eastAsia="Times New Roman"/>
                <w:color w:val="0070C0"/>
                <w:sz w:val="20"/>
              </w:rPr>
            </w:pPr>
            <w:r>
              <w:rPr>
                <w:rFonts w:ascii="Times New Roman" w:eastAsia="Times New Roman" w:hAnsi="Times New Roman" w:cs="Times New Roman"/>
                <w:sz w:val="20"/>
              </w:rPr>
              <w:t xml:space="preserve"> </w:t>
            </w:r>
            <w:r w:rsidR="0014390E" w:rsidRPr="0014390E">
              <w:rPr>
                <w:rFonts w:eastAsia="Times New Roman"/>
                <w:color w:val="0070C0"/>
                <w:sz w:val="20"/>
              </w:rPr>
              <w:t>wysokość zabudowy mieszkaniowej nie może przekroczyć trzech kondygnacji nadziemnych, to jest parter, piętro i poddasze użytkowe,</w:t>
            </w:r>
          </w:p>
          <w:p w:rsidR="0014390E" w:rsidRPr="0014390E" w:rsidRDefault="0014390E" w:rsidP="0014390E">
            <w:pPr>
              <w:numPr>
                <w:ilvl w:val="0"/>
                <w:numId w:val="13"/>
              </w:numPr>
              <w:rPr>
                <w:rFonts w:ascii="Times New Roman" w:eastAsia="Times New Roman" w:hAnsi="Times New Roman" w:cs="Times New Roman"/>
                <w:color w:val="0070C0"/>
                <w:sz w:val="20"/>
              </w:rPr>
            </w:pPr>
            <w:r w:rsidRPr="0014390E">
              <w:rPr>
                <w:rFonts w:ascii="Times New Roman" w:eastAsia="Times New Roman" w:hAnsi="Times New Roman" w:cs="Times New Roman"/>
                <w:color w:val="0070C0"/>
                <w:sz w:val="20"/>
              </w:rPr>
              <w:t>wysokość zabudowy usługowej wolnostojącej nie może przekroczyć dwóch kondygnacji nadziemnych,</w:t>
            </w:r>
          </w:p>
          <w:p w:rsidR="0014390E" w:rsidRPr="0014390E" w:rsidRDefault="0014390E" w:rsidP="0014390E">
            <w:pPr>
              <w:numPr>
                <w:ilvl w:val="0"/>
                <w:numId w:val="13"/>
              </w:numPr>
              <w:rPr>
                <w:rFonts w:ascii="Times New Roman" w:eastAsia="Times New Roman" w:hAnsi="Times New Roman" w:cs="Times New Roman"/>
                <w:color w:val="0070C0"/>
                <w:sz w:val="20"/>
              </w:rPr>
            </w:pPr>
            <w:r w:rsidRPr="0014390E">
              <w:rPr>
                <w:rFonts w:ascii="Times New Roman" w:eastAsia="Times New Roman" w:hAnsi="Times New Roman" w:cs="Times New Roman"/>
                <w:color w:val="0070C0"/>
                <w:sz w:val="20"/>
              </w:rPr>
              <w:t>wysokość zabudowy mieszkaniowej i usługowej nie może przekraczać 12 m,</w:t>
            </w:r>
          </w:p>
          <w:p w:rsidR="001C505B" w:rsidRDefault="001C505B">
            <w:pPr>
              <w:ind w:left="1"/>
            </w:pPr>
          </w:p>
        </w:tc>
      </w:tr>
      <w:tr w:rsidR="001C505B">
        <w:trPr>
          <w:trHeight w:val="724"/>
        </w:trPr>
        <w:tc>
          <w:tcPr>
            <w:tcW w:w="0" w:type="auto"/>
            <w:vMerge/>
            <w:tcBorders>
              <w:top w:val="nil"/>
              <w:left w:val="single" w:sz="4" w:space="0" w:color="000000"/>
              <w:bottom w:val="nil"/>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Minimalny udział procentowy powierzchni biologicznie czynnej </w:t>
            </w:r>
          </w:p>
        </w:tc>
        <w:tc>
          <w:tcPr>
            <w:tcW w:w="3419" w:type="dxa"/>
            <w:tcBorders>
              <w:top w:val="single" w:sz="4" w:space="0" w:color="000000"/>
              <w:left w:val="single" w:sz="4" w:space="0" w:color="000000"/>
              <w:bottom w:val="single" w:sz="4" w:space="0" w:color="000000"/>
              <w:right w:val="single" w:sz="4" w:space="0" w:color="000000"/>
            </w:tcBorders>
          </w:tcPr>
          <w:p w:rsidR="0014390E" w:rsidRPr="0014390E" w:rsidRDefault="00E81E84" w:rsidP="0014390E">
            <w:pPr>
              <w:ind w:left="1"/>
              <w:rPr>
                <w:rFonts w:ascii="Times New Roman" w:eastAsia="Times New Roman" w:hAnsi="Times New Roman" w:cs="Times New Roman"/>
                <w:color w:val="0070C0"/>
                <w:sz w:val="20"/>
              </w:rPr>
            </w:pPr>
            <w:r w:rsidRPr="000368AA">
              <w:rPr>
                <w:rFonts w:ascii="Times New Roman" w:eastAsia="Times New Roman" w:hAnsi="Times New Roman" w:cs="Times New Roman"/>
                <w:color w:val="0070C0"/>
                <w:sz w:val="20"/>
              </w:rPr>
              <w:t xml:space="preserve"> </w:t>
            </w:r>
            <w:r w:rsidR="0014390E" w:rsidRPr="0014390E">
              <w:rPr>
                <w:rFonts w:ascii="Times New Roman" w:eastAsia="Times New Roman" w:hAnsi="Times New Roman" w:cs="Times New Roman"/>
                <w:color w:val="0070C0"/>
                <w:sz w:val="20"/>
              </w:rPr>
              <w:t>- Na terenie usług publicznych: 30%</w:t>
            </w:r>
          </w:p>
          <w:p w:rsidR="0014390E" w:rsidRPr="0014390E" w:rsidRDefault="0014390E" w:rsidP="0014390E">
            <w:pPr>
              <w:ind w:left="1"/>
              <w:rPr>
                <w:rFonts w:ascii="Times New Roman" w:eastAsia="Times New Roman" w:hAnsi="Times New Roman" w:cs="Times New Roman"/>
                <w:color w:val="0070C0"/>
                <w:sz w:val="20"/>
              </w:rPr>
            </w:pPr>
            <w:r w:rsidRPr="0014390E">
              <w:rPr>
                <w:rFonts w:ascii="Times New Roman" w:eastAsia="Times New Roman" w:hAnsi="Times New Roman" w:cs="Times New Roman"/>
                <w:color w:val="0070C0"/>
                <w:sz w:val="20"/>
              </w:rPr>
              <w:t>- Na terenie zabudowy mieszkaniowej jednorodzinnej: 30%</w:t>
            </w:r>
          </w:p>
          <w:p w:rsidR="0014390E" w:rsidRPr="0014390E" w:rsidRDefault="0014390E" w:rsidP="0014390E">
            <w:pPr>
              <w:ind w:left="1"/>
              <w:rPr>
                <w:rFonts w:ascii="Times New Roman" w:eastAsia="Times New Roman" w:hAnsi="Times New Roman" w:cs="Times New Roman"/>
                <w:color w:val="0070C0"/>
                <w:sz w:val="20"/>
              </w:rPr>
            </w:pPr>
            <w:r w:rsidRPr="0014390E">
              <w:rPr>
                <w:rFonts w:ascii="Times New Roman" w:eastAsia="Times New Roman" w:hAnsi="Times New Roman" w:cs="Times New Roman"/>
                <w:color w:val="0070C0"/>
                <w:sz w:val="20"/>
              </w:rPr>
              <w:lastRenderedPageBreak/>
              <w:t>- na terenie usług komercyjnych: 20%</w:t>
            </w:r>
          </w:p>
          <w:p w:rsidR="001C505B" w:rsidRPr="000368AA" w:rsidRDefault="001C505B">
            <w:pPr>
              <w:ind w:left="1"/>
              <w:rPr>
                <w:color w:val="0070C0"/>
              </w:rPr>
            </w:pPr>
          </w:p>
        </w:tc>
      </w:tr>
      <w:tr w:rsidR="001C505B">
        <w:trPr>
          <w:trHeight w:val="722"/>
        </w:trPr>
        <w:tc>
          <w:tcPr>
            <w:tcW w:w="0" w:type="auto"/>
            <w:vMerge/>
            <w:tcBorders>
              <w:top w:val="nil"/>
              <w:left w:val="single" w:sz="4" w:space="0" w:color="000000"/>
              <w:bottom w:val="single" w:sz="4" w:space="0" w:color="000000"/>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right="855"/>
            </w:pPr>
            <w:r>
              <w:rPr>
                <w:rFonts w:ascii="Times New Roman" w:eastAsia="Times New Roman" w:hAnsi="Times New Roman" w:cs="Times New Roman"/>
                <w:sz w:val="20"/>
              </w:rPr>
              <w:t xml:space="preserve">Minimalna liczba miejsc do parkowania </w:t>
            </w:r>
          </w:p>
        </w:tc>
        <w:tc>
          <w:tcPr>
            <w:tcW w:w="3419" w:type="dxa"/>
            <w:tcBorders>
              <w:top w:val="single" w:sz="4" w:space="0" w:color="000000"/>
              <w:left w:val="single" w:sz="4" w:space="0" w:color="000000"/>
              <w:bottom w:val="single" w:sz="4" w:space="0" w:color="000000"/>
              <w:right w:val="single" w:sz="4" w:space="0" w:color="000000"/>
            </w:tcBorders>
          </w:tcPr>
          <w:p w:rsidR="0014390E" w:rsidRPr="0014390E" w:rsidRDefault="00E81E84" w:rsidP="0014390E">
            <w:pPr>
              <w:numPr>
                <w:ilvl w:val="0"/>
                <w:numId w:val="14"/>
              </w:numPr>
              <w:rPr>
                <w:rFonts w:ascii="Times New Roman" w:eastAsia="Times New Roman" w:hAnsi="Times New Roman" w:cs="Times New Roman"/>
                <w:color w:val="0070C0"/>
                <w:sz w:val="20"/>
              </w:rPr>
            </w:pPr>
            <w:r w:rsidRPr="0014390E">
              <w:rPr>
                <w:rFonts w:ascii="Times New Roman" w:eastAsia="Times New Roman" w:hAnsi="Times New Roman" w:cs="Times New Roman"/>
                <w:color w:val="0070C0"/>
                <w:sz w:val="20"/>
              </w:rPr>
              <w:t xml:space="preserve"> </w:t>
            </w:r>
            <w:r w:rsidR="0014390E" w:rsidRPr="0014390E">
              <w:rPr>
                <w:rFonts w:ascii="Times New Roman" w:eastAsia="Times New Roman" w:hAnsi="Times New Roman" w:cs="Times New Roman"/>
                <w:color w:val="0070C0"/>
                <w:sz w:val="20"/>
              </w:rPr>
              <w:t xml:space="preserve"> 1 miejsce na mieszkanie,</w:t>
            </w:r>
          </w:p>
          <w:p w:rsidR="0014390E" w:rsidRPr="0014390E" w:rsidRDefault="0014390E" w:rsidP="0014390E">
            <w:pPr>
              <w:numPr>
                <w:ilvl w:val="0"/>
                <w:numId w:val="14"/>
              </w:numPr>
              <w:rPr>
                <w:rFonts w:ascii="Times New Roman" w:eastAsia="Times New Roman" w:hAnsi="Times New Roman" w:cs="Times New Roman"/>
                <w:color w:val="0070C0"/>
                <w:sz w:val="20"/>
              </w:rPr>
            </w:pPr>
            <w:r w:rsidRPr="0014390E">
              <w:rPr>
                <w:rFonts w:ascii="Times New Roman" w:eastAsia="Times New Roman" w:hAnsi="Times New Roman" w:cs="Times New Roman"/>
                <w:color w:val="0070C0"/>
                <w:sz w:val="20"/>
              </w:rPr>
              <w:t>1 miejsce na każde 4 miejsca noclegowe w hotelach,</w:t>
            </w:r>
          </w:p>
          <w:p w:rsidR="0014390E" w:rsidRPr="0014390E" w:rsidRDefault="0014390E" w:rsidP="0014390E">
            <w:pPr>
              <w:numPr>
                <w:ilvl w:val="0"/>
                <w:numId w:val="14"/>
              </w:numPr>
              <w:rPr>
                <w:rFonts w:ascii="Times New Roman" w:eastAsia="Times New Roman" w:hAnsi="Times New Roman" w:cs="Times New Roman"/>
                <w:color w:val="0070C0"/>
                <w:sz w:val="20"/>
              </w:rPr>
            </w:pPr>
            <w:r w:rsidRPr="0014390E">
              <w:rPr>
                <w:rFonts w:ascii="Times New Roman" w:eastAsia="Times New Roman" w:hAnsi="Times New Roman" w:cs="Times New Roman"/>
                <w:color w:val="0070C0"/>
                <w:sz w:val="20"/>
              </w:rPr>
              <w:t>1 miejsce na każde rozpoczęte 25 m</w:t>
            </w:r>
            <w:r w:rsidRPr="0014390E">
              <w:rPr>
                <w:rFonts w:ascii="Times New Roman" w:eastAsia="Times New Roman" w:hAnsi="Times New Roman" w:cs="Times New Roman"/>
                <w:color w:val="0070C0"/>
                <w:sz w:val="20"/>
                <w:vertAlign w:val="superscript"/>
              </w:rPr>
              <w:t>2</w:t>
            </w:r>
            <w:r w:rsidRPr="0014390E">
              <w:rPr>
                <w:rFonts w:ascii="Times New Roman" w:eastAsia="Times New Roman" w:hAnsi="Times New Roman" w:cs="Times New Roman"/>
                <w:color w:val="0070C0"/>
                <w:sz w:val="20"/>
              </w:rPr>
              <w:t> powierzchni użytkowej usług zlokalizowanych na terenie zabudowy mieszkaniowej jednorodzinnej, oznaczonej symbolem </w:t>
            </w:r>
            <w:r w:rsidRPr="0014390E">
              <w:rPr>
                <w:rFonts w:ascii="Times New Roman" w:eastAsia="Times New Roman" w:hAnsi="Times New Roman" w:cs="Times New Roman"/>
                <w:b/>
                <w:bCs/>
                <w:color w:val="0070C0"/>
                <w:sz w:val="20"/>
              </w:rPr>
              <w:t>MN</w:t>
            </w:r>
            <w:r w:rsidRPr="0014390E">
              <w:rPr>
                <w:rFonts w:ascii="Times New Roman" w:eastAsia="Times New Roman" w:hAnsi="Times New Roman" w:cs="Times New Roman"/>
                <w:color w:val="0070C0"/>
                <w:sz w:val="20"/>
              </w:rPr>
              <w:t> i zabudowy mieszanej oznaczonej symbolem </w:t>
            </w:r>
            <w:r w:rsidRPr="0014390E">
              <w:rPr>
                <w:rFonts w:ascii="Times New Roman" w:eastAsia="Times New Roman" w:hAnsi="Times New Roman" w:cs="Times New Roman"/>
                <w:b/>
                <w:bCs/>
                <w:color w:val="0070C0"/>
                <w:sz w:val="20"/>
              </w:rPr>
              <w:t>MM</w:t>
            </w:r>
            <w:r w:rsidRPr="0014390E">
              <w:rPr>
                <w:rFonts w:ascii="Times New Roman" w:eastAsia="Times New Roman" w:hAnsi="Times New Roman" w:cs="Times New Roman"/>
                <w:color w:val="0070C0"/>
                <w:sz w:val="20"/>
              </w:rPr>
              <w:t>, lecz nie mniej niż 2 miejsca postojowe,</w:t>
            </w:r>
          </w:p>
          <w:p w:rsidR="0014390E" w:rsidRPr="0014390E" w:rsidRDefault="0014390E" w:rsidP="0014390E">
            <w:pPr>
              <w:numPr>
                <w:ilvl w:val="0"/>
                <w:numId w:val="14"/>
              </w:numPr>
              <w:rPr>
                <w:rFonts w:ascii="Times New Roman" w:eastAsia="Times New Roman" w:hAnsi="Times New Roman" w:cs="Times New Roman"/>
                <w:color w:val="0070C0"/>
                <w:sz w:val="20"/>
              </w:rPr>
            </w:pPr>
            <w:r w:rsidRPr="0014390E">
              <w:rPr>
                <w:rFonts w:ascii="Times New Roman" w:eastAsia="Times New Roman" w:hAnsi="Times New Roman" w:cs="Times New Roman"/>
                <w:color w:val="0070C0"/>
                <w:sz w:val="20"/>
              </w:rPr>
              <w:t>1 miejsce na każde rozpoczęte 25 m</w:t>
            </w:r>
            <w:r w:rsidRPr="0014390E">
              <w:rPr>
                <w:rFonts w:ascii="Times New Roman" w:eastAsia="Times New Roman" w:hAnsi="Times New Roman" w:cs="Times New Roman"/>
                <w:color w:val="0070C0"/>
                <w:sz w:val="20"/>
                <w:vertAlign w:val="superscript"/>
              </w:rPr>
              <w:t>2</w:t>
            </w:r>
            <w:r w:rsidRPr="0014390E">
              <w:rPr>
                <w:rFonts w:ascii="Times New Roman" w:eastAsia="Times New Roman" w:hAnsi="Times New Roman" w:cs="Times New Roman"/>
                <w:color w:val="0070C0"/>
                <w:sz w:val="20"/>
              </w:rPr>
              <w:t> powierzchni sprzedaży w obiektach handlowych, lokalizowanych na terenach oznaczonych symbolem </w:t>
            </w:r>
            <w:r w:rsidRPr="0014390E">
              <w:rPr>
                <w:rFonts w:ascii="Times New Roman" w:eastAsia="Times New Roman" w:hAnsi="Times New Roman" w:cs="Times New Roman"/>
                <w:b/>
                <w:bCs/>
                <w:color w:val="0070C0"/>
                <w:sz w:val="20"/>
              </w:rPr>
              <w:t>U</w:t>
            </w:r>
            <w:r w:rsidRPr="0014390E">
              <w:rPr>
                <w:rFonts w:ascii="Times New Roman" w:eastAsia="Times New Roman" w:hAnsi="Times New Roman" w:cs="Times New Roman"/>
                <w:color w:val="0070C0"/>
                <w:sz w:val="20"/>
              </w:rPr>
              <w:t>,</w:t>
            </w:r>
          </w:p>
          <w:p w:rsidR="0014390E" w:rsidRPr="0014390E" w:rsidRDefault="0014390E" w:rsidP="0014390E">
            <w:pPr>
              <w:numPr>
                <w:ilvl w:val="0"/>
                <w:numId w:val="14"/>
              </w:numPr>
              <w:rPr>
                <w:rFonts w:ascii="Times New Roman" w:eastAsia="Times New Roman" w:hAnsi="Times New Roman" w:cs="Times New Roman"/>
                <w:color w:val="0070C0"/>
                <w:sz w:val="20"/>
              </w:rPr>
            </w:pPr>
            <w:r w:rsidRPr="0014390E">
              <w:rPr>
                <w:rFonts w:ascii="Times New Roman" w:eastAsia="Times New Roman" w:hAnsi="Times New Roman" w:cs="Times New Roman"/>
                <w:color w:val="0070C0"/>
                <w:sz w:val="20"/>
              </w:rPr>
              <w:t>1 miejsce na każde rozpoczęte 25 m</w:t>
            </w:r>
            <w:r w:rsidRPr="0014390E">
              <w:rPr>
                <w:rFonts w:ascii="Times New Roman" w:eastAsia="Times New Roman" w:hAnsi="Times New Roman" w:cs="Times New Roman"/>
                <w:color w:val="0070C0"/>
                <w:sz w:val="20"/>
                <w:vertAlign w:val="superscript"/>
              </w:rPr>
              <w:t>2</w:t>
            </w:r>
            <w:r w:rsidRPr="0014390E">
              <w:rPr>
                <w:rFonts w:ascii="Times New Roman" w:eastAsia="Times New Roman" w:hAnsi="Times New Roman" w:cs="Times New Roman"/>
                <w:color w:val="0070C0"/>
                <w:sz w:val="20"/>
              </w:rPr>
              <w:t> powierzchni użytkowej w budynkach zabudowy usługowej, lokalizowanych na terenach oznaczonych symbolem </w:t>
            </w:r>
            <w:r w:rsidRPr="0014390E">
              <w:rPr>
                <w:rFonts w:ascii="Times New Roman" w:eastAsia="Times New Roman" w:hAnsi="Times New Roman" w:cs="Times New Roman"/>
                <w:b/>
                <w:bCs/>
                <w:color w:val="0070C0"/>
                <w:sz w:val="20"/>
              </w:rPr>
              <w:t>U</w:t>
            </w:r>
            <w:r w:rsidRPr="0014390E">
              <w:rPr>
                <w:rFonts w:ascii="Times New Roman" w:eastAsia="Times New Roman" w:hAnsi="Times New Roman" w:cs="Times New Roman"/>
                <w:color w:val="0070C0"/>
                <w:sz w:val="20"/>
              </w:rPr>
              <w:t>,</w:t>
            </w:r>
          </w:p>
          <w:p w:rsidR="0014390E" w:rsidRPr="0014390E" w:rsidRDefault="0014390E" w:rsidP="0014390E">
            <w:pPr>
              <w:numPr>
                <w:ilvl w:val="0"/>
                <w:numId w:val="14"/>
              </w:numPr>
              <w:rPr>
                <w:rFonts w:ascii="Times New Roman" w:eastAsia="Times New Roman" w:hAnsi="Times New Roman" w:cs="Times New Roman"/>
                <w:color w:val="0070C0"/>
                <w:sz w:val="20"/>
              </w:rPr>
            </w:pPr>
            <w:r w:rsidRPr="0014390E">
              <w:rPr>
                <w:rFonts w:ascii="Times New Roman" w:eastAsia="Times New Roman" w:hAnsi="Times New Roman" w:cs="Times New Roman"/>
                <w:color w:val="0070C0"/>
                <w:sz w:val="20"/>
              </w:rPr>
              <w:t>1 miejsce dla pojazdu osoby niepełnosprawnej na każde kolejne 25 miejsc parkingowych, lecz nie mniej niż 1 miejsce w przypadku parkingów o liczbie miejsc większej niż 10.</w:t>
            </w:r>
          </w:p>
          <w:p w:rsidR="001C505B" w:rsidRDefault="001C505B">
            <w:pPr>
              <w:ind w:left="1"/>
            </w:pPr>
          </w:p>
        </w:tc>
      </w:tr>
      <w:tr w:rsidR="001C505B">
        <w:trPr>
          <w:trHeight w:val="1409"/>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rsidR="001C505B" w:rsidRDefault="00E81E84">
            <w:pPr>
              <w:ind w:right="50"/>
            </w:pPr>
            <w:r>
              <w:rPr>
                <w:rFonts w:ascii="Times New Roman" w:eastAsia="Times New Roman" w:hAnsi="Times New Roman" w:cs="Times New Roman"/>
                <w:sz w:val="20"/>
              </w:rPr>
              <w:t xml:space="preserve">Ustalenia decyzji o warunkach zabudowy albo decyzji o ustaleniu lokalizacji inwestycji celu publicznego dla terenu objętego przedsięwzięciem deweloperskim lub zadaniem inwestycyjnym w przypadku braku miejscowego planu zagospodarowania przestrzennego </w:t>
            </w:r>
          </w:p>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right="939"/>
            </w:pPr>
            <w:r>
              <w:rPr>
                <w:rFonts w:ascii="Times New Roman" w:eastAsia="Times New Roman" w:hAnsi="Times New Roman" w:cs="Times New Roman"/>
                <w:sz w:val="20"/>
              </w:rPr>
              <w:t xml:space="preserve">Funkcja zabudowy i zagospodarowania terenu </w:t>
            </w:r>
          </w:p>
        </w:tc>
        <w:tc>
          <w:tcPr>
            <w:tcW w:w="3419" w:type="dxa"/>
            <w:tcBorders>
              <w:top w:val="single" w:sz="4" w:space="0" w:color="000000"/>
              <w:left w:val="single" w:sz="4" w:space="0" w:color="000000"/>
              <w:bottom w:val="single" w:sz="4" w:space="0" w:color="000000"/>
              <w:right w:val="single" w:sz="4" w:space="0" w:color="000000"/>
            </w:tcBorders>
          </w:tcPr>
          <w:p w:rsidR="001C505B" w:rsidRDefault="00E81E84">
            <w:pPr>
              <w:ind w:left="1"/>
            </w:pPr>
            <w:r>
              <w:rPr>
                <w:rFonts w:ascii="Times New Roman" w:eastAsia="Times New Roman" w:hAnsi="Times New Roman" w:cs="Times New Roman"/>
                <w:sz w:val="20"/>
              </w:rPr>
              <w:t xml:space="preserve">Sposób użytkowania obiektów budowlanych oraz zagospodarowania terenu </w:t>
            </w:r>
          </w:p>
        </w:tc>
      </w:tr>
      <w:tr w:rsidR="001C505B">
        <w:trPr>
          <w:trHeight w:val="458"/>
        </w:trPr>
        <w:tc>
          <w:tcPr>
            <w:tcW w:w="0" w:type="auto"/>
            <w:vMerge/>
            <w:tcBorders>
              <w:top w:val="nil"/>
              <w:left w:val="single" w:sz="4" w:space="0" w:color="000000"/>
              <w:bottom w:val="nil"/>
              <w:right w:val="single" w:sz="4" w:space="0" w:color="000000"/>
            </w:tcBorders>
          </w:tcPr>
          <w:p w:rsidR="001C505B" w:rsidRDefault="001C505B"/>
        </w:tc>
        <w:tc>
          <w:tcPr>
            <w:tcW w:w="6675" w:type="dxa"/>
            <w:gridSpan w:val="2"/>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Cechy zabudowy i zagospodarowania terenu: </w:t>
            </w:r>
          </w:p>
        </w:tc>
      </w:tr>
      <w:tr w:rsidR="001C505B">
        <w:trPr>
          <w:trHeight w:val="458"/>
        </w:trPr>
        <w:tc>
          <w:tcPr>
            <w:tcW w:w="0" w:type="auto"/>
            <w:vMerge/>
            <w:tcBorders>
              <w:top w:val="nil"/>
              <w:left w:val="single" w:sz="4" w:space="0" w:color="000000"/>
              <w:bottom w:val="nil"/>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gabaryty </w:t>
            </w:r>
          </w:p>
        </w:tc>
        <w:tc>
          <w:tcPr>
            <w:tcW w:w="3419" w:type="dxa"/>
            <w:tcBorders>
              <w:top w:val="single" w:sz="4" w:space="0" w:color="000000"/>
              <w:left w:val="single" w:sz="4" w:space="0" w:color="000000"/>
              <w:bottom w:val="single" w:sz="4" w:space="0" w:color="000000"/>
              <w:right w:val="single" w:sz="4" w:space="0" w:color="000000"/>
            </w:tcBorders>
          </w:tcPr>
          <w:p w:rsidR="001C505B" w:rsidRPr="00B601A8" w:rsidRDefault="00E81E84">
            <w:pPr>
              <w:ind w:left="1"/>
              <w:rPr>
                <w:color w:val="0070C0"/>
              </w:rPr>
            </w:pPr>
            <w:r w:rsidRPr="00B601A8">
              <w:rPr>
                <w:rFonts w:ascii="Times New Roman" w:eastAsia="Times New Roman" w:hAnsi="Times New Roman" w:cs="Times New Roman"/>
                <w:color w:val="0070C0"/>
                <w:sz w:val="20"/>
              </w:rPr>
              <w:t xml:space="preserve"> </w:t>
            </w:r>
            <w:r w:rsidR="00B601A8" w:rsidRPr="00B601A8">
              <w:rPr>
                <w:rFonts w:ascii="Times New Roman" w:eastAsia="Times New Roman" w:hAnsi="Times New Roman" w:cs="Times New Roman"/>
                <w:color w:val="0070C0"/>
                <w:sz w:val="20"/>
              </w:rPr>
              <w:t>Nie dotyczy</w:t>
            </w:r>
          </w:p>
        </w:tc>
      </w:tr>
      <w:tr w:rsidR="001C505B">
        <w:trPr>
          <w:trHeight w:val="498"/>
        </w:trPr>
        <w:tc>
          <w:tcPr>
            <w:tcW w:w="0" w:type="auto"/>
            <w:vMerge/>
            <w:tcBorders>
              <w:top w:val="nil"/>
              <w:left w:val="single" w:sz="4" w:space="0" w:color="000000"/>
              <w:bottom w:val="nil"/>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forma architektoniczna </w:t>
            </w:r>
          </w:p>
        </w:tc>
        <w:tc>
          <w:tcPr>
            <w:tcW w:w="3419" w:type="dxa"/>
            <w:tcBorders>
              <w:top w:val="single" w:sz="4" w:space="0" w:color="000000"/>
              <w:left w:val="single" w:sz="4" w:space="0" w:color="000000"/>
              <w:bottom w:val="single" w:sz="4" w:space="0" w:color="000000"/>
              <w:right w:val="single" w:sz="4" w:space="0" w:color="000000"/>
            </w:tcBorders>
          </w:tcPr>
          <w:p w:rsidR="001C505B" w:rsidRPr="00B601A8" w:rsidRDefault="00E81E84">
            <w:pPr>
              <w:ind w:left="1"/>
              <w:rPr>
                <w:color w:val="0070C0"/>
              </w:rPr>
            </w:pPr>
            <w:r w:rsidRPr="00B601A8">
              <w:rPr>
                <w:rFonts w:ascii="Times New Roman" w:eastAsia="Times New Roman" w:hAnsi="Times New Roman" w:cs="Times New Roman"/>
                <w:color w:val="0070C0"/>
                <w:sz w:val="20"/>
              </w:rPr>
              <w:t xml:space="preserve"> </w:t>
            </w:r>
            <w:r w:rsidR="00B601A8" w:rsidRPr="00B601A8">
              <w:rPr>
                <w:rFonts w:ascii="Times New Roman" w:eastAsia="Times New Roman" w:hAnsi="Times New Roman" w:cs="Times New Roman"/>
                <w:color w:val="0070C0"/>
                <w:sz w:val="20"/>
              </w:rPr>
              <w:t>Nie dotyczy</w:t>
            </w:r>
          </w:p>
        </w:tc>
      </w:tr>
      <w:tr w:rsidR="001C505B">
        <w:trPr>
          <w:trHeight w:val="458"/>
        </w:trPr>
        <w:tc>
          <w:tcPr>
            <w:tcW w:w="0" w:type="auto"/>
            <w:vMerge/>
            <w:tcBorders>
              <w:top w:val="nil"/>
              <w:left w:val="single" w:sz="4" w:space="0" w:color="000000"/>
              <w:bottom w:val="nil"/>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usytuowanie linii zabudowy </w:t>
            </w:r>
          </w:p>
        </w:tc>
        <w:tc>
          <w:tcPr>
            <w:tcW w:w="3419" w:type="dxa"/>
            <w:tcBorders>
              <w:top w:val="single" w:sz="4" w:space="0" w:color="000000"/>
              <w:left w:val="single" w:sz="4" w:space="0" w:color="000000"/>
              <w:bottom w:val="single" w:sz="4" w:space="0" w:color="000000"/>
              <w:right w:val="single" w:sz="4" w:space="0" w:color="000000"/>
            </w:tcBorders>
          </w:tcPr>
          <w:p w:rsidR="001C505B" w:rsidRPr="00B601A8" w:rsidRDefault="00E81E84">
            <w:pPr>
              <w:ind w:left="1"/>
              <w:rPr>
                <w:color w:val="0070C0"/>
              </w:rPr>
            </w:pPr>
            <w:r w:rsidRPr="00B601A8">
              <w:rPr>
                <w:rFonts w:ascii="Times New Roman" w:eastAsia="Times New Roman" w:hAnsi="Times New Roman" w:cs="Times New Roman"/>
                <w:color w:val="0070C0"/>
                <w:sz w:val="20"/>
              </w:rPr>
              <w:t xml:space="preserve"> </w:t>
            </w:r>
            <w:r w:rsidR="00B601A8" w:rsidRPr="00B601A8">
              <w:rPr>
                <w:rFonts w:ascii="Times New Roman" w:eastAsia="Times New Roman" w:hAnsi="Times New Roman" w:cs="Times New Roman"/>
                <w:color w:val="0070C0"/>
                <w:sz w:val="20"/>
              </w:rPr>
              <w:t>Nie dotyczy</w:t>
            </w:r>
          </w:p>
        </w:tc>
      </w:tr>
      <w:tr w:rsidR="001C505B">
        <w:trPr>
          <w:trHeight w:val="458"/>
        </w:trPr>
        <w:tc>
          <w:tcPr>
            <w:tcW w:w="0" w:type="auto"/>
            <w:vMerge/>
            <w:tcBorders>
              <w:top w:val="nil"/>
              <w:left w:val="single" w:sz="4" w:space="0" w:color="000000"/>
              <w:bottom w:val="nil"/>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intensywność wykorzystania terenu </w:t>
            </w:r>
          </w:p>
        </w:tc>
        <w:tc>
          <w:tcPr>
            <w:tcW w:w="3419" w:type="dxa"/>
            <w:tcBorders>
              <w:top w:val="single" w:sz="4" w:space="0" w:color="000000"/>
              <w:left w:val="single" w:sz="4" w:space="0" w:color="000000"/>
              <w:bottom w:val="single" w:sz="4" w:space="0" w:color="000000"/>
              <w:right w:val="single" w:sz="4" w:space="0" w:color="000000"/>
            </w:tcBorders>
          </w:tcPr>
          <w:p w:rsidR="001C505B" w:rsidRPr="00B601A8" w:rsidRDefault="00E81E84">
            <w:pPr>
              <w:ind w:left="1"/>
              <w:rPr>
                <w:color w:val="0070C0"/>
              </w:rPr>
            </w:pPr>
            <w:r w:rsidRPr="00B601A8">
              <w:rPr>
                <w:rFonts w:ascii="Times New Roman" w:eastAsia="Times New Roman" w:hAnsi="Times New Roman" w:cs="Times New Roman"/>
                <w:color w:val="0070C0"/>
                <w:sz w:val="20"/>
              </w:rPr>
              <w:t xml:space="preserve"> </w:t>
            </w:r>
            <w:r w:rsidR="00B601A8" w:rsidRPr="00B601A8">
              <w:rPr>
                <w:rFonts w:ascii="Times New Roman" w:eastAsia="Times New Roman" w:hAnsi="Times New Roman" w:cs="Times New Roman"/>
                <w:color w:val="0070C0"/>
                <w:sz w:val="20"/>
              </w:rPr>
              <w:t>Nie dotyczy</w:t>
            </w:r>
          </w:p>
        </w:tc>
      </w:tr>
      <w:tr w:rsidR="001C505B">
        <w:trPr>
          <w:trHeight w:val="722"/>
        </w:trPr>
        <w:tc>
          <w:tcPr>
            <w:tcW w:w="0" w:type="auto"/>
            <w:vMerge/>
            <w:tcBorders>
              <w:top w:val="nil"/>
              <w:left w:val="single" w:sz="4" w:space="0" w:color="000000"/>
              <w:bottom w:val="single" w:sz="4" w:space="0" w:color="000000"/>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right="50"/>
            </w:pPr>
            <w:r>
              <w:rPr>
                <w:rFonts w:ascii="Times New Roman" w:eastAsia="Times New Roman" w:hAnsi="Times New Roman" w:cs="Times New Roman"/>
                <w:sz w:val="20"/>
              </w:rPr>
              <w:t xml:space="preserve">warunki ochrony środowiska i zdrowia ludzi, przyrody i krajobrazu </w:t>
            </w:r>
          </w:p>
        </w:tc>
        <w:tc>
          <w:tcPr>
            <w:tcW w:w="3419" w:type="dxa"/>
            <w:tcBorders>
              <w:top w:val="single" w:sz="4" w:space="0" w:color="000000"/>
              <w:left w:val="single" w:sz="4" w:space="0" w:color="000000"/>
              <w:bottom w:val="single" w:sz="4" w:space="0" w:color="000000"/>
              <w:right w:val="single" w:sz="4" w:space="0" w:color="000000"/>
            </w:tcBorders>
          </w:tcPr>
          <w:p w:rsidR="001C505B" w:rsidRPr="00B601A8" w:rsidRDefault="00E81E84">
            <w:pPr>
              <w:ind w:left="1"/>
              <w:rPr>
                <w:color w:val="0070C0"/>
              </w:rPr>
            </w:pPr>
            <w:r w:rsidRPr="00B601A8">
              <w:rPr>
                <w:rFonts w:ascii="Times New Roman" w:eastAsia="Times New Roman" w:hAnsi="Times New Roman" w:cs="Times New Roman"/>
                <w:color w:val="0070C0"/>
                <w:sz w:val="20"/>
              </w:rPr>
              <w:t xml:space="preserve"> </w:t>
            </w:r>
            <w:r w:rsidR="00B601A8" w:rsidRPr="00B601A8">
              <w:rPr>
                <w:rFonts w:ascii="Times New Roman" w:eastAsia="Times New Roman" w:hAnsi="Times New Roman" w:cs="Times New Roman"/>
                <w:color w:val="0070C0"/>
                <w:sz w:val="20"/>
              </w:rPr>
              <w:t>Nie dotyczy</w:t>
            </w:r>
          </w:p>
        </w:tc>
      </w:tr>
    </w:tbl>
    <w:p w:rsidR="001C505B" w:rsidRDefault="001C505B">
      <w:pPr>
        <w:spacing w:after="0"/>
        <w:ind w:left="-1020" w:right="216"/>
      </w:pPr>
    </w:p>
    <w:tbl>
      <w:tblPr>
        <w:tblStyle w:val="TableGrid"/>
        <w:tblW w:w="9646" w:type="dxa"/>
        <w:tblInd w:w="6" w:type="dxa"/>
        <w:tblCellMar>
          <w:top w:w="52" w:type="dxa"/>
          <w:left w:w="107" w:type="dxa"/>
          <w:right w:w="92" w:type="dxa"/>
        </w:tblCellMar>
        <w:tblLook w:val="04A0"/>
      </w:tblPr>
      <w:tblGrid>
        <w:gridCol w:w="2971"/>
        <w:gridCol w:w="3256"/>
        <w:gridCol w:w="3419"/>
      </w:tblGrid>
      <w:tr w:rsidR="001C505B">
        <w:trPr>
          <w:trHeight w:val="1250"/>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right="233"/>
            </w:pPr>
            <w:r>
              <w:rPr>
                <w:rFonts w:ascii="Times New Roman" w:eastAsia="Times New Roman" w:hAnsi="Times New Roman" w:cs="Times New Roman"/>
                <w:sz w:val="20"/>
              </w:rPr>
              <w:t xml:space="preserve">wymagania dotyczące zabudowy i zagospodarowania terenu położonego na obszarach szczególnego zagrożenia powodzią </w:t>
            </w:r>
          </w:p>
        </w:tc>
        <w:tc>
          <w:tcPr>
            <w:tcW w:w="3419" w:type="dxa"/>
            <w:tcBorders>
              <w:top w:val="single" w:sz="4" w:space="0" w:color="000000"/>
              <w:left w:val="single" w:sz="4" w:space="0" w:color="000000"/>
              <w:bottom w:val="single" w:sz="4" w:space="0" w:color="000000"/>
              <w:right w:val="single" w:sz="4" w:space="0" w:color="000000"/>
            </w:tcBorders>
          </w:tcPr>
          <w:p w:rsidR="001C505B" w:rsidRDefault="00E81E84">
            <w:pPr>
              <w:ind w:left="1"/>
            </w:pPr>
            <w:r>
              <w:rPr>
                <w:rFonts w:ascii="Times New Roman" w:eastAsia="Times New Roman" w:hAnsi="Times New Roman" w:cs="Times New Roman"/>
                <w:sz w:val="20"/>
              </w:rPr>
              <w:t xml:space="preserve"> </w:t>
            </w:r>
            <w:r w:rsidR="00B601A8" w:rsidRPr="00B601A8">
              <w:rPr>
                <w:rFonts w:ascii="Times New Roman" w:eastAsia="Times New Roman" w:hAnsi="Times New Roman" w:cs="Times New Roman"/>
                <w:color w:val="0070C0"/>
                <w:sz w:val="20"/>
              </w:rPr>
              <w:t>Nie dotyczy</w:t>
            </w:r>
          </w:p>
        </w:tc>
      </w:tr>
      <w:tr w:rsidR="001C505B">
        <w:trPr>
          <w:trHeight w:val="988"/>
        </w:trPr>
        <w:tc>
          <w:tcPr>
            <w:tcW w:w="0" w:type="auto"/>
            <w:vMerge/>
            <w:tcBorders>
              <w:top w:val="nil"/>
              <w:left w:val="single" w:sz="4" w:space="0" w:color="000000"/>
              <w:bottom w:val="nil"/>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right="550"/>
            </w:pPr>
            <w:r>
              <w:rPr>
                <w:rFonts w:ascii="Times New Roman" w:eastAsia="Times New Roman" w:hAnsi="Times New Roman" w:cs="Times New Roman"/>
                <w:sz w:val="20"/>
              </w:rPr>
              <w:t xml:space="preserve">warunki ochrony dziedzictwa kulturowego i zabytków  oraz dóbr kultury współczesnej </w:t>
            </w:r>
          </w:p>
        </w:tc>
        <w:tc>
          <w:tcPr>
            <w:tcW w:w="3419" w:type="dxa"/>
            <w:tcBorders>
              <w:top w:val="single" w:sz="4" w:space="0" w:color="000000"/>
              <w:left w:val="single" w:sz="4" w:space="0" w:color="000000"/>
              <w:bottom w:val="single" w:sz="4" w:space="0" w:color="000000"/>
              <w:right w:val="single" w:sz="4" w:space="0" w:color="000000"/>
            </w:tcBorders>
          </w:tcPr>
          <w:p w:rsidR="001C505B" w:rsidRPr="00B601A8" w:rsidRDefault="00E81E84">
            <w:pPr>
              <w:ind w:left="1"/>
              <w:rPr>
                <w:color w:val="0070C0"/>
              </w:rPr>
            </w:pPr>
            <w:r w:rsidRPr="00B601A8">
              <w:rPr>
                <w:rFonts w:ascii="Times New Roman" w:eastAsia="Times New Roman" w:hAnsi="Times New Roman" w:cs="Times New Roman"/>
                <w:color w:val="0070C0"/>
                <w:sz w:val="20"/>
              </w:rPr>
              <w:t xml:space="preserve"> </w:t>
            </w:r>
            <w:r w:rsidR="00B601A8" w:rsidRPr="00B601A8">
              <w:rPr>
                <w:rFonts w:ascii="Times New Roman" w:eastAsia="Times New Roman" w:hAnsi="Times New Roman" w:cs="Times New Roman"/>
                <w:color w:val="0070C0"/>
                <w:sz w:val="20"/>
              </w:rPr>
              <w:t>Nie dotyczy</w:t>
            </w:r>
          </w:p>
        </w:tc>
      </w:tr>
      <w:tr w:rsidR="001C505B">
        <w:trPr>
          <w:trHeight w:val="1252"/>
        </w:trPr>
        <w:tc>
          <w:tcPr>
            <w:tcW w:w="0" w:type="auto"/>
            <w:vMerge/>
            <w:tcBorders>
              <w:top w:val="nil"/>
              <w:left w:val="single" w:sz="4" w:space="0" w:color="000000"/>
              <w:bottom w:val="nil"/>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wymagania dotyczące ochrony innych terenów lub obiektów podlegających ochronie na podstawie przepisów odrębnych </w:t>
            </w:r>
          </w:p>
        </w:tc>
        <w:tc>
          <w:tcPr>
            <w:tcW w:w="3419" w:type="dxa"/>
            <w:tcBorders>
              <w:top w:val="single" w:sz="4" w:space="0" w:color="000000"/>
              <w:left w:val="single" w:sz="4" w:space="0" w:color="000000"/>
              <w:bottom w:val="single" w:sz="4" w:space="0" w:color="000000"/>
              <w:right w:val="single" w:sz="4" w:space="0" w:color="000000"/>
            </w:tcBorders>
          </w:tcPr>
          <w:p w:rsidR="001C505B" w:rsidRPr="00B601A8" w:rsidRDefault="00E81E84">
            <w:pPr>
              <w:ind w:left="1"/>
              <w:rPr>
                <w:color w:val="0070C0"/>
              </w:rPr>
            </w:pPr>
            <w:r w:rsidRPr="00B601A8">
              <w:rPr>
                <w:rFonts w:ascii="Times New Roman" w:eastAsia="Times New Roman" w:hAnsi="Times New Roman" w:cs="Times New Roman"/>
                <w:color w:val="0070C0"/>
                <w:sz w:val="20"/>
              </w:rPr>
              <w:t xml:space="preserve"> </w:t>
            </w:r>
            <w:r w:rsidR="00B601A8" w:rsidRPr="00B601A8">
              <w:rPr>
                <w:rFonts w:ascii="Times New Roman" w:eastAsia="Times New Roman" w:hAnsi="Times New Roman" w:cs="Times New Roman"/>
                <w:color w:val="0070C0"/>
                <w:sz w:val="20"/>
              </w:rPr>
              <w:t>Nie dotyczy</w:t>
            </w:r>
          </w:p>
        </w:tc>
      </w:tr>
      <w:tr w:rsidR="001C505B">
        <w:trPr>
          <w:trHeight w:val="722"/>
        </w:trPr>
        <w:tc>
          <w:tcPr>
            <w:tcW w:w="0" w:type="auto"/>
            <w:vMerge/>
            <w:tcBorders>
              <w:top w:val="nil"/>
              <w:left w:val="single" w:sz="4" w:space="0" w:color="000000"/>
              <w:bottom w:val="nil"/>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warunki i szczegółowe zasady obsługi w zakresie komunikacji </w:t>
            </w:r>
          </w:p>
        </w:tc>
        <w:tc>
          <w:tcPr>
            <w:tcW w:w="3419" w:type="dxa"/>
            <w:tcBorders>
              <w:top w:val="single" w:sz="4" w:space="0" w:color="000000"/>
              <w:left w:val="single" w:sz="4" w:space="0" w:color="000000"/>
              <w:bottom w:val="single" w:sz="4" w:space="0" w:color="000000"/>
              <w:right w:val="single" w:sz="4" w:space="0" w:color="000000"/>
            </w:tcBorders>
          </w:tcPr>
          <w:p w:rsidR="001C505B" w:rsidRPr="00B601A8" w:rsidRDefault="00E81E84">
            <w:pPr>
              <w:ind w:left="1"/>
              <w:rPr>
                <w:color w:val="0070C0"/>
              </w:rPr>
            </w:pPr>
            <w:r w:rsidRPr="00B601A8">
              <w:rPr>
                <w:rFonts w:ascii="Times New Roman" w:eastAsia="Times New Roman" w:hAnsi="Times New Roman" w:cs="Times New Roman"/>
                <w:color w:val="0070C0"/>
                <w:sz w:val="20"/>
              </w:rPr>
              <w:t xml:space="preserve"> </w:t>
            </w:r>
            <w:r w:rsidR="00B601A8" w:rsidRPr="00B601A8">
              <w:rPr>
                <w:rFonts w:ascii="Times New Roman" w:eastAsia="Times New Roman" w:hAnsi="Times New Roman" w:cs="Times New Roman"/>
                <w:color w:val="0070C0"/>
                <w:sz w:val="20"/>
              </w:rPr>
              <w:t>Nie dotyczy</w:t>
            </w:r>
          </w:p>
        </w:tc>
      </w:tr>
      <w:tr w:rsidR="001C505B">
        <w:trPr>
          <w:trHeight w:val="988"/>
        </w:trPr>
        <w:tc>
          <w:tcPr>
            <w:tcW w:w="0" w:type="auto"/>
            <w:vMerge/>
            <w:tcBorders>
              <w:top w:val="nil"/>
              <w:left w:val="single" w:sz="4" w:space="0" w:color="000000"/>
              <w:bottom w:val="nil"/>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warunki i szczegółowe zasady obsługi w zakresie infrastruktury technicznej </w:t>
            </w:r>
          </w:p>
        </w:tc>
        <w:tc>
          <w:tcPr>
            <w:tcW w:w="3419" w:type="dxa"/>
            <w:tcBorders>
              <w:top w:val="single" w:sz="4" w:space="0" w:color="000000"/>
              <w:left w:val="single" w:sz="4" w:space="0" w:color="000000"/>
              <w:bottom w:val="single" w:sz="4" w:space="0" w:color="000000"/>
              <w:right w:val="single" w:sz="4" w:space="0" w:color="000000"/>
            </w:tcBorders>
          </w:tcPr>
          <w:p w:rsidR="001C505B" w:rsidRPr="00B601A8" w:rsidRDefault="00E81E84">
            <w:pPr>
              <w:ind w:left="1"/>
              <w:rPr>
                <w:color w:val="0070C0"/>
              </w:rPr>
            </w:pPr>
            <w:r w:rsidRPr="00B601A8">
              <w:rPr>
                <w:rFonts w:ascii="Times New Roman" w:eastAsia="Times New Roman" w:hAnsi="Times New Roman" w:cs="Times New Roman"/>
                <w:color w:val="0070C0"/>
                <w:sz w:val="20"/>
              </w:rPr>
              <w:t xml:space="preserve"> </w:t>
            </w:r>
            <w:r w:rsidR="00B601A8" w:rsidRPr="00B601A8">
              <w:rPr>
                <w:rFonts w:ascii="Times New Roman" w:eastAsia="Times New Roman" w:hAnsi="Times New Roman" w:cs="Times New Roman"/>
                <w:color w:val="0070C0"/>
                <w:sz w:val="20"/>
              </w:rPr>
              <w:t>Nie dotyczy</w:t>
            </w:r>
          </w:p>
        </w:tc>
      </w:tr>
      <w:tr w:rsidR="001C505B">
        <w:trPr>
          <w:trHeight w:val="724"/>
        </w:trPr>
        <w:tc>
          <w:tcPr>
            <w:tcW w:w="0" w:type="auto"/>
            <w:vMerge/>
            <w:tcBorders>
              <w:top w:val="nil"/>
              <w:left w:val="single" w:sz="4" w:space="0" w:color="000000"/>
              <w:bottom w:val="nil"/>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minimalny udział procentowy powierzchni biologicznie czynnej </w:t>
            </w:r>
          </w:p>
        </w:tc>
        <w:tc>
          <w:tcPr>
            <w:tcW w:w="3419" w:type="dxa"/>
            <w:tcBorders>
              <w:top w:val="single" w:sz="4" w:space="0" w:color="000000"/>
              <w:left w:val="single" w:sz="4" w:space="0" w:color="000000"/>
              <w:bottom w:val="single" w:sz="4" w:space="0" w:color="000000"/>
              <w:right w:val="single" w:sz="4" w:space="0" w:color="000000"/>
            </w:tcBorders>
          </w:tcPr>
          <w:p w:rsidR="001C505B" w:rsidRPr="00B601A8" w:rsidRDefault="00E81E84">
            <w:pPr>
              <w:ind w:left="1"/>
              <w:rPr>
                <w:color w:val="0070C0"/>
              </w:rPr>
            </w:pPr>
            <w:r w:rsidRPr="00B601A8">
              <w:rPr>
                <w:rFonts w:ascii="Times New Roman" w:eastAsia="Times New Roman" w:hAnsi="Times New Roman" w:cs="Times New Roman"/>
                <w:color w:val="0070C0"/>
                <w:sz w:val="20"/>
              </w:rPr>
              <w:t xml:space="preserve"> </w:t>
            </w:r>
            <w:r w:rsidR="00B601A8" w:rsidRPr="00B601A8">
              <w:rPr>
                <w:rFonts w:ascii="Times New Roman" w:eastAsia="Times New Roman" w:hAnsi="Times New Roman" w:cs="Times New Roman"/>
                <w:color w:val="0070C0"/>
                <w:sz w:val="20"/>
              </w:rPr>
              <w:t>Nie dotyczy</w:t>
            </w:r>
          </w:p>
        </w:tc>
      </w:tr>
      <w:tr w:rsidR="001C505B">
        <w:trPr>
          <w:trHeight w:val="458"/>
        </w:trPr>
        <w:tc>
          <w:tcPr>
            <w:tcW w:w="0" w:type="auto"/>
            <w:vMerge/>
            <w:tcBorders>
              <w:top w:val="nil"/>
              <w:left w:val="single" w:sz="4" w:space="0" w:color="000000"/>
              <w:bottom w:val="nil"/>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nadziemna intensywność zabudowy </w:t>
            </w:r>
          </w:p>
        </w:tc>
        <w:tc>
          <w:tcPr>
            <w:tcW w:w="3419" w:type="dxa"/>
            <w:tcBorders>
              <w:top w:val="single" w:sz="4" w:space="0" w:color="000000"/>
              <w:left w:val="single" w:sz="4" w:space="0" w:color="000000"/>
              <w:bottom w:val="single" w:sz="4" w:space="0" w:color="000000"/>
              <w:right w:val="single" w:sz="4" w:space="0" w:color="000000"/>
            </w:tcBorders>
          </w:tcPr>
          <w:p w:rsidR="001C505B" w:rsidRPr="00B601A8" w:rsidRDefault="00E81E84">
            <w:pPr>
              <w:ind w:left="1"/>
              <w:rPr>
                <w:color w:val="0070C0"/>
              </w:rPr>
            </w:pPr>
            <w:r w:rsidRPr="00B601A8">
              <w:rPr>
                <w:rFonts w:ascii="Times New Roman" w:eastAsia="Times New Roman" w:hAnsi="Times New Roman" w:cs="Times New Roman"/>
                <w:color w:val="0070C0"/>
                <w:sz w:val="20"/>
              </w:rPr>
              <w:t xml:space="preserve"> </w:t>
            </w:r>
            <w:r w:rsidR="00B601A8" w:rsidRPr="00B601A8">
              <w:rPr>
                <w:rFonts w:ascii="Times New Roman" w:eastAsia="Times New Roman" w:hAnsi="Times New Roman" w:cs="Times New Roman"/>
                <w:color w:val="0070C0"/>
                <w:sz w:val="20"/>
              </w:rPr>
              <w:t>Nie dotyczy</w:t>
            </w:r>
          </w:p>
        </w:tc>
      </w:tr>
      <w:tr w:rsidR="001C505B">
        <w:trPr>
          <w:trHeight w:val="458"/>
        </w:trPr>
        <w:tc>
          <w:tcPr>
            <w:tcW w:w="0" w:type="auto"/>
            <w:vMerge/>
            <w:tcBorders>
              <w:top w:val="nil"/>
              <w:left w:val="single" w:sz="4" w:space="0" w:color="000000"/>
              <w:bottom w:val="single" w:sz="4" w:space="0" w:color="000000"/>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wysokość zabudowy </w:t>
            </w:r>
          </w:p>
        </w:tc>
        <w:tc>
          <w:tcPr>
            <w:tcW w:w="3419" w:type="dxa"/>
            <w:tcBorders>
              <w:top w:val="single" w:sz="4" w:space="0" w:color="000000"/>
              <w:left w:val="single" w:sz="4" w:space="0" w:color="000000"/>
              <w:bottom w:val="single" w:sz="4" w:space="0" w:color="000000"/>
              <w:right w:val="single" w:sz="4" w:space="0" w:color="000000"/>
            </w:tcBorders>
          </w:tcPr>
          <w:p w:rsidR="001C505B" w:rsidRPr="00B601A8" w:rsidRDefault="00E81E84">
            <w:pPr>
              <w:ind w:left="1"/>
              <w:rPr>
                <w:color w:val="0070C0"/>
              </w:rPr>
            </w:pPr>
            <w:r w:rsidRPr="00B601A8">
              <w:rPr>
                <w:rFonts w:ascii="Times New Roman" w:eastAsia="Times New Roman" w:hAnsi="Times New Roman" w:cs="Times New Roman"/>
                <w:color w:val="0070C0"/>
                <w:sz w:val="20"/>
              </w:rPr>
              <w:t xml:space="preserve"> </w:t>
            </w:r>
            <w:r w:rsidR="00B601A8" w:rsidRPr="00B601A8">
              <w:rPr>
                <w:rFonts w:ascii="Times New Roman" w:eastAsia="Times New Roman" w:hAnsi="Times New Roman" w:cs="Times New Roman"/>
                <w:color w:val="0070C0"/>
                <w:sz w:val="20"/>
              </w:rPr>
              <w:t>Nie dotyczy</w:t>
            </w:r>
          </w:p>
        </w:tc>
      </w:tr>
      <w:tr w:rsidR="001C505B">
        <w:trPr>
          <w:trHeight w:val="722"/>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rsidR="001C505B" w:rsidRDefault="00E81E84">
            <w:pPr>
              <w:ind w:right="427"/>
            </w:pPr>
            <w:r>
              <w:rPr>
                <w:rFonts w:ascii="Times New Roman" w:eastAsia="Times New Roman" w:hAnsi="Times New Roman" w:cs="Times New Roman"/>
                <w:sz w:val="20"/>
              </w:rPr>
              <w:t>Informacje dotyczące przewidzianych inwestycji w promieniu 1 km od terenu objętego przedsięwzięciem deweloperskim lub zadaniem inwestycyjnym</w:t>
            </w:r>
            <w:r>
              <w:rPr>
                <w:rFonts w:ascii="Times New Roman" w:eastAsia="Times New Roman" w:hAnsi="Times New Roman" w:cs="Times New Roman"/>
                <w:sz w:val="20"/>
                <w:vertAlign w:val="superscript"/>
              </w:rPr>
              <w:footnoteReference w:id="2"/>
            </w:r>
            <w:r>
              <w:rPr>
                <w:rFonts w:ascii="Times New Roman" w:eastAsia="Times New Roman" w:hAnsi="Times New Roman" w:cs="Times New Roman"/>
                <w:sz w:val="20"/>
                <w:vertAlign w:val="superscript"/>
              </w:rPr>
              <w:t>)</w:t>
            </w:r>
            <w:r>
              <w:rPr>
                <w:rFonts w:ascii="Times New Roman" w:eastAsia="Times New Roman" w:hAnsi="Times New Roman" w:cs="Times New Roman"/>
                <w:sz w:val="20"/>
              </w:rPr>
              <w:t xml:space="preserve">, zawarte w: </w:t>
            </w:r>
          </w:p>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spacing w:after="14"/>
              <w:ind w:left="2"/>
            </w:pPr>
            <w:r>
              <w:rPr>
                <w:rFonts w:ascii="Times New Roman" w:eastAsia="Times New Roman" w:hAnsi="Times New Roman" w:cs="Times New Roman"/>
                <w:sz w:val="20"/>
              </w:rPr>
              <w:t xml:space="preserve">miejscowych planach </w:t>
            </w:r>
          </w:p>
          <w:p w:rsidR="001C505B" w:rsidRDefault="00E81E84">
            <w:pPr>
              <w:ind w:left="2"/>
            </w:pPr>
            <w:r>
              <w:rPr>
                <w:rFonts w:ascii="Times New Roman" w:eastAsia="Times New Roman" w:hAnsi="Times New Roman" w:cs="Times New Roman"/>
                <w:sz w:val="20"/>
              </w:rPr>
              <w:t xml:space="preserve">zagospodarowania przestrzennego </w:t>
            </w:r>
          </w:p>
        </w:tc>
        <w:tc>
          <w:tcPr>
            <w:tcW w:w="3419" w:type="dxa"/>
            <w:tcBorders>
              <w:top w:val="single" w:sz="4" w:space="0" w:color="000000"/>
              <w:left w:val="single" w:sz="4" w:space="0" w:color="000000"/>
              <w:bottom w:val="single" w:sz="4" w:space="0" w:color="000000"/>
              <w:right w:val="single" w:sz="4" w:space="0" w:color="000000"/>
            </w:tcBorders>
          </w:tcPr>
          <w:p w:rsidR="00B601A8" w:rsidRPr="00B601A8" w:rsidRDefault="00E81E84" w:rsidP="00B601A8">
            <w:pPr>
              <w:ind w:left="1"/>
              <w:rPr>
                <w:rFonts w:ascii="Times New Roman" w:eastAsia="Times New Roman" w:hAnsi="Times New Roman" w:cs="Times New Roman"/>
                <w:color w:val="0070C0"/>
                <w:sz w:val="20"/>
              </w:rPr>
            </w:pPr>
            <w:r w:rsidRPr="00B601A8">
              <w:rPr>
                <w:rFonts w:ascii="Times New Roman" w:eastAsia="Times New Roman" w:hAnsi="Times New Roman" w:cs="Times New Roman"/>
                <w:color w:val="0070C0"/>
                <w:sz w:val="20"/>
              </w:rPr>
              <w:t xml:space="preserve"> </w:t>
            </w:r>
            <w:r w:rsidR="00B601A8" w:rsidRPr="00B601A8">
              <w:rPr>
                <w:rFonts w:ascii="Times New Roman" w:eastAsia="Times New Roman" w:hAnsi="Times New Roman" w:cs="Times New Roman"/>
                <w:color w:val="0070C0"/>
                <w:sz w:val="20"/>
              </w:rPr>
              <w:t>- budowa budynków mieszkalnych na terenach zabudowy mieszkaniowej</w:t>
            </w:r>
          </w:p>
          <w:p w:rsidR="00B601A8" w:rsidRPr="00B601A8" w:rsidRDefault="00B601A8" w:rsidP="00B601A8">
            <w:pPr>
              <w:ind w:left="1"/>
              <w:rPr>
                <w:rFonts w:ascii="Times New Roman" w:eastAsia="Times New Roman" w:hAnsi="Times New Roman" w:cs="Times New Roman"/>
                <w:color w:val="0070C0"/>
                <w:sz w:val="20"/>
              </w:rPr>
            </w:pPr>
            <w:r w:rsidRPr="00B601A8">
              <w:rPr>
                <w:rFonts w:ascii="Times New Roman" w:eastAsia="Times New Roman" w:hAnsi="Times New Roman" w:cs="Times New Roman"/>
                <w:color w:val="0070C0"/>
                <w:sz w:val="20"/>
              </w:rPr>
              <w:t>- budowa budynków usługowych</w:t>
            </w:r>
          </w:p>
          <w:p w:rsidR="001C505B" w:rsidRPr="00B601A8" w:rsidRDefault="001C505B">
            <w:pPr>
              <w:ind w:left="1"/>
              <w:rPr>
                <w:color w:val="0070C0"/>
              </w:rPr>
            </w:pPr>
          </w:p>
        </w:tc>
      </w:tr>
      <w:tr w:rsidR="001C505B">
        <w:trPr>
          <w:trHeight w:val="613"/>
        </w:trPr>
        <w:tc>
          <w:tcPr>
            <w:tcW w:w="0" w:type="auto"/>
            <w:vMerge/>
            <w:tcBorders>
              <w:top w:val="nil"/>
              <w:left w:val="single" w:sz="4" w:space="0" w:color="000000"/>
              <w:bottom w:val="nil"/>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right="200"/>
            </w:pPr>
            <w:r>
              <w:rPr>
                <w:rFonts w:ascii="Times New Roman" w:eastAsia="Times New Roman" w:hAnsi="Times New Roman" w:cs="Times New Roman"/>
                <w:sz w:val="20"/>
              </w:rPr>
              <w:t xml:space="preserve">decyzjach o warunkach zabudowy i zagospodarowania terenu </w:t>
            </w:r>
          </w:p>
        </w:tc>
        <w:tc>
          <w:tcPr>
            <w:tcW w:w="3419" w:type="dxa"/>
            <w:tcBorders>
              <w:top w:val="single" w:sz="4" w:space="0" w:color="000000"/>
              <w:left w:val="single" w:sz="4" w:space="0" w:color="000000"/>
              <w:bottom w:val="single" w:sz="4" w:space="0" w:color="000000"/>
              <w:right w:val="single" w:sz="4" w:space="0" w:color="000000"/>
            </w:tcBorders>
          </w:tcPr>
          <w:p w:rsidR="001C505B" w:rsidRPr="00B601A8" w:rsidRDefault="00E81E84">
            <w:pPr>
              <w:ind w:left="1"/>
              <w:rPr>
                <w:color w:val="0070C0"/>
              </w:rPr>
            </w:pPr>
            <w:r w:rsidRPr="00B601A8">
              <w:rPr>
                <w:rFonts w:ascii="Times New Roman" w:eastAsia="Times New Roman" w:hAnsi="Times New Roman" w:cs="Times New Roman"/>
                <w:color w:val="0070C0"/>
                <w:sz w:val="20"/>
              </w:rPr>
              <w:t xml:space="preserve"> </w:t>
            </w:r>
            <w:r w:rsidR="00B601A8" w:rsidRPr="00B601A8">
              <w:rPr>
                <w:rFonts w:ascii="Times New Roman" w:eastAsia="Times New Roman" w:hAnsi="Times New Roman" w:cs="Times New Roman"/>
                <w:color w:val="0070C0"/>
                <w:sz w:val="20"/>
              </w:rPr>
              <w:t>Nie dotyczy</w:t>
            </w:r>
          </w:p>
        </w:tc>
      </w:tr>
      <w:tr w:rsidR="001C505B">
        <w:trPr>
          <w:trHeight w:val="580"/>
        </w:trPr>
        <w:tc>
          <w:tcPr>
            <w:tcW w:w="0" w:type="auto"/>
            <w:vMerge/>
            <w:tcBorders>
              <w:top w:val="nil"/>
              <w:left w:val="single" w:sz="4" w:space="0" w:color="000000"/>
              <w:bottom w:val="nil"/>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decyzjach o środowiskowych uwarunkowaniach </w:t>
            </w:r>
          </w:p>
        </w:tc>
        <w:tc>
          <w:tcPr>
            <w:tcW w:w="3419" w:type="dxa"/>
            <w:tcBorders>
              <w:top w:val="single" w:sz="4" w:space="0" w:color="000000"/>
              <w:left w:val="single" w:sz="4" w:space="0" w:color="000000"/>
              <w:bottom w:val="single" w:sz="4" w:space="0" w:color="000000"/>
              <w:right w:val="single" w:sz="4" w:space="0" w:color="000000"/>
            </w:tcBorders>
          </w:tcPr>
          <w:p w:rsidR="001C505B" w:rsidRPr="00B601A8" w:rsidRDefault="00E81E84">
            <w:pPr>
              <w:ind w:left="1"/>
              <w:rPr>
                <w:color w:val="0070C0"/>
              </w:rPr>
            </w:pPr>
            <w:r w:rsidRPr="00B601A8">
              <w:rPr>
                <w:rFonts w:ascii="Times New Roman" w:eastAsia="Times New Roman" w:hAnsi="Times New Roman" w:cs="Times New Roman"/>
                <w:color w:val="0070C0"/>
                <w:sz w:val="20"/>
              </w:rPr>
              <w:t xml:space="preserve"> </w:t>
            </w:r>
            <w:r w:rsidR="00B601A8" w:rsidRPr="00B601A8">
              <w:rPr>
                <w:rFonts w:ascii="Times New Roman" w:eastAsia="Times New Roman" w:hAnsi="Times New Roman" w:cs="Times New Roman"/>
                <w:color w:val="0070C0"/>
                <w:sz w:val="20"/>
              </w:rPr>
              <w:t>Nie dotyczy</w:t>
            </w:r>
          </w:p>
        </w:tc>
      </w:tr>
      <w:tr w:rsidR="001C505B">
        <w:trPr>
          <w:trHeight w:val="722"/>
        </w:trPr>
        <w:tc>
          <w:tcPr>
            <w:tcW w:w="0" w:type="auto"/>
            <w:vMerge/>
            <w:tcBorders>
              <w:top w:val="nil"/>
              <w:left w:val="single" w:sz="4" w:space="0" w:color="000000"/>
              <w:bottom w:val="nil"/>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uchwałach o obszarach ograniczonego użytkowania </w:t>
            </w:r>
          </w:p>
        </w:tc>
        <w:tc>
          <w:tcPr>
            <w:tcW w:w="3419" w:type="dxa"/>
            <w:tcBorders>
              <w:top w:val="single" w:sz="4" w:space="0" w:color="000000"/>
              <w:left w:val="single" w:sz="4" w:space="0" w:color="000000"/>
              <w:bottom w:val="single" w:sz="4" w:space="0" w:color="000000"/>
              <w:right w:val="single" w:sz="4" w:space="0" w:color="000000"/>
            </w:tcBorders>
          </w:tcPr>
          <w:p w:rsidR="001C505B" w:rsidRPr="00B601A8" w:rsidRDefault="00E81E84">
            <w:pPr>
              <w:ind w:left="1"/>
              <w:rPr>
                <w:color w:val="0070C0"/>
              </w:rPr>
            </w:pPr>
            <w:r w:rsidRPr="00B601A8">
              <w:rPr>
                <w:rFonts w:ascii="Times New Roman" w:eastAsia="Times New Roman" w:hAnsi="Times New Roman" w:cs="Times New Roman"/>
                <w:color w:val="0070C0"/>
                <w:sz w:val="20"/>
              </w:rPr>
              <w:t xml:space="preserve"> </w:t>
            </w:r>
            <w:r w:rsidR="00B601A8" w:rsidRPr="00B601A8">
              <w:rPr>
                <w:rFonts w:ascii="Times New Roman" w:eastAsia="Times New Roman" w:hAnsi="Times New Roman" w:cs="Times New Roman"/>
                <w:color w:val="0070C0"/>
                <w:sz w:val="20"/>
              </w:rPr>
              <w:t>Nie dotyczy</w:t>
            </w:r>
          </w:p>
        </w:tc>
      </w:tr>
      <w:tr w:rsidR="001C505B">
        <w:trPr>
          <w:trHeight w:val="458"/>
        </w:trPr>
        <w:tc>
          <w:tcPr>
            <w:tcW w:w="0" w:type="auto"/>
            <w:vMerge/>
            <w:tcBorders>
              <w:top w:val="nil"/>
              <w:left w:val="single" w:sz="4" w:space="0" w:color="000000"/>
              <w:bottom w:val="nil"/>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miejscowych planach odbudowy </w:t>
            </w:r>
          </w:p>
        </w:tc>
        <w:tc>
          <w:tcPr>
            <w:tcW w:w="3419" w:type="dxa"/>
            <w:tcBorders>
              <w:top w:val="single" w:sz="4" w:space="0" w:color="000000"/>
              <w:left w:val="single" w:sz="4" w:space="0" w:color="000000"/>
              <w:bottom w:val="single" w:sz="4" w:space="0" w:color="000000"/>
              <w:right w:val="single" w:sz="4" w:space="0" w:color="000000"/>
            </w:tcBorders>
          </w:tcPr>
          <w:p w:rsidR="001C505B" w:rsidRPr="00B601A8" w:rsidRDefault="00E81E84">
            <w:pPr>
              <w:ind w:left="1"/>
              <w:rPr>
                <w:color w:val="0070C0"/>
              </w:rPr>
            </w:pPr>
            <w:r w:rsidRPr="00B601A8">
              <w:rPr>
                <w:rFonts w:ascii="Times New Roman" w:eastAsia="Times New Roman" w:hAnsi="Times New Roman" w:cs="Times New Roman"/>
                <w:color w:val="0070C0"/>
                <w:sz w:val="20"/>
              </w:rPr>
              <w:t xml:space="preserve"> </w:t>
            </w:r>
            <w:r w:rsidR="00B601A8" w:rsidRPr="00B601A8">
              <w:rPr>
                <w:rFonts w:ascii="Times New Roman" w:eastAsia="Times New Roman" w:hAnsi="Times New Roman" w:cs="Times New Roman"/>
                <w:color w:val="0070C0"/>
                <w:sz w:val="20"/>
              </w:rPr>
              <w:t>Nie dotyczy</w:t>
            </w:r>
          </w:p>
        </w:tc>
      </w:tr>
      <w:tr w:rsidR="001C505B">
        <w:trPr>
          <w:trHeight w:val="724"/>
        </w:trPr>
        <w:tc>
          <w:tcPr>
            <w:tcW w:w="0" w:type="auto"/>
            <w:vMerge/>
            <w:tcBorders>
              <w:top w:val="nil"/>
              <w:left w:val="single" w:sz="4" w:space="0" w:color="000000"/>
              <w:bottom w:val="nil"/>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right="138"/>
            </w:pPr>
            <w:r>
              <w:rPr>
                <w:rFonts w:ascii="Times New Roman" w:eastAsia="Times New Roman" w:hAnsi="Times New Roman" w:cs="Times New Roman"/>
                <w:sz w:val="20"/>
              </w:rPr>
              <w:t xml:space="preserve">mapach zagrożenia powodziowego i mapach ryzyka powodziowego </w:t>
            </w:r>
          </w:p>
        </w:tc>
        <w:tc>
          <w:tcPr>
            <w:tcW w:w="3419" w:type="dxa"/>
            <w:tcBorders>
              <w:top w:val="single" w:sz="4" w:space="0" w:color="000000"/>
              <w:left w:val="single" w:sz="4" w:space="0" w:color="000000"/>
              <w:bottom w:val="single" w:sz="4" w:space="0" w:color="000000"/>
              <w:right w:val="single" w:sz="4" w:space="0" w:color="000000"/>
            </w:tcBorders>
          </w:tcPr>
          <w:p w:rsidR="001C505B" w:rsidRPr="00B601A8" w:rsidRDefault="00E81E84">
            <w:pPr>
              <w:ind w:left="1"/>
              <w:rPr>
                <w:color w:val="0070C0"/>
              </w:rPr>
            </w:pPr>
            <w:r w:rsidRPr="00B601A8">
              <w:rPr>
                <w:rFonts w:ascii="Times New Roman" w:eastAsia="Times New Roman" w:hAnsi="Times New Roman" w:cs="Times New Roman"/>
                <w:color w:val="0070C0"/>
                <w:sz w:val="20"/>
              </w:rPr>
              <w:t xml:space="preserve"> </w:t>
            </w:r>
            <w:r w:rsidR="00B601A8" w:rsidRPr="00B601A8">
              <w:rPr>
                <w:rFonts w:ascii="Times New Roman" w:eastAsia="Times New Roman" w:hAnsi="Times New Roman" w:cs="Times New Roman"/>
                <w:color w:val="0070C0"/>
                <w:sz w:val="20"/>
              </w:rPr>
              <w:t>Nie dotyczy</w:t>
            </w:r>
          </w:p>
        </w:tc>
      </w:tr>
      <w:tr w:rsidR="001C505B">
        <w:trPr>
          <w:trHeight w:val="844"/>
        </w:trPr>
        <w:tc>
          <w:tcPr>
            <w:tcW w:w="0" w:type="auto"/>
            <w:vMerge/>
            <w:tcBorders>
              <w:top w:val="nil"/>
              <w:left w:val="single" w:sz="4" w:space="0" w:color="000000"/>
              <w:bottom w:val="nil"/>
              <w:right w:val="single" w:sz="4" w:space="0" w:color="000000"/>
            </w:tcBorders>
          </w:tcPr>
          <w:p w:rsidR="001C505B" w:rsidRDefault="001C505B"/>
        </w:tc>
        <w:tc>
          <w:tcPr>
            <w:tcW w:w="6675" w:type="dxa"/>
            <w:gridSpan w:val="2"/>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Ustalenia decyzji w zakresie rozmieszczenia inwestycji celu publicznego, mogące mieć znaczenie dla terenu objętego przedsięwzięciem deweloperskim lub zadaniem inwestycyjnym: </w:t>
            </w:r>
          </w:p>
        </w:tc>
      </w:tr>
      <w:tr w:rsidR="001C505B">
        <w:trPr>
          <w:trHeight w:val="578"/>
        </w:trPr>
        <w:tc>
          <w:tcPr>
            <w:tcW w:w="0" w:type="auto"/>
            <w:vMerge/>
            <w:tcBorders>
              <w:top w:val="nil"/>
              <w:left w:val="single" w:sz="4" w:space="0" w:color="000000"/>
              <w:bottom w:val="nil"/>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decyzja o zezwoleniu na realizację inwestycji drogowej </w:t>
            </w:r>
          </w:p>
        </w:tc>
        <w:tc>
          <w:tcPr>
            <w:tcW w:w="3419" w:type="dxa"/>
            <w:tcBorders>
              <w:top w:val="single" w:sz="4" w:space="0" w:color="000000"/>
              <w:left w:val="single" w:sz="4" w:space="0" w:color="000000"/>
              <w:bottom w:val="single" w:sz="4" w:space="0" w:color="000000"/>
              <w:right w:val="single" w:sz="4" w:space="0" w:color="000000"/>
            </w:tcBorders>
          </w:tcPr>
          <w:p w:rsidR="001C505B" w:rsidRPr="00B601A8" w:rsidRDefault="00E81E84">
            <w:pPr>
              <w:ind w:left="1"/>
              <w:rPr>
                <w:color w:val="0070C0"/>
              </w:rPr>
            </w:pPr>
            <w:r w:rsidRPr="00B601A8">
              <w:rPr>
                <w:rFonts w:ascii="Times New Roman" w:eastAsia="Times New Roman" w:hAnsi="Times New Roman" w:cs="Times New Roman"/>
                <w:color w:val="0070C0"/>
                <w:sz w:val="20"/>
              </w:rPr>
              <w:t xml:space="preserve"> </w:t>
            </w:r>
            <w:r w:rsidR="00B601A8" w:rsidRPr="00B601A8">
              <w:rPr>
                <w:rFonts w:ascii="Times New Roman" w:eastAsia="Times New Roman" w:hAnsi="Times New Roman" w:cs="Times New Roman"/>
                <w:color w:val="0070C0"/>
                <w:sz w:val="20"/>
              </w:rPr>
              <w:t>Nie dotyczy</w:t>
            </w:r>
          </w:p>
        </w:tc>
      </w:tr>
      <w:tr w:rsidR="001C505B">
        <w:trPr>
          <w:trHeight w:val="722"/>
        </w:trPr>
        <w:tc>
          <w:tcPr>
            <w:tcW w:w="0" w:type="auto"/>
            <w:vMerge/>
            <w:tcBorders>
              <w:top w:val="nil"/>
              <w:left w:val="single" w:sz="4" w:space="0" w:color="000000"/>
              <w:bottom w:val="single" w:sz="4" w:space="0" w:color="000000"/>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decyzja o ustaleniu lokalizacji linii kolejowej </w:t>
            </w:r>
          </w:p>
        </w:tc>
        <w:tc>
          <w:tcPr>
            <w:tcW w:w="3419" w:type="dxa"/>
            <w:tcBorders>
              <w:top w:val="single" w:sz="4" w:space="0" w:color="000000"/>
              <w:left w:val="single" w:sz="4" w:space="0" w:color="000000"/>
              <w:bottom w:val="single" w:sz="4" w:space="0" w:color="000000"/>
              <w:right w:val="single" w:sz="4" w:space="0" w:color="000000"/>
            </w:tcBorders>
          </w:tcPr>
          <w:p w:rsidR="001C505B" w:rsidRPr="00B601A8" w:rsidRDefault="00E81E84">
            <w:pPr>
              <w:ind w:left="1"/>
              <w:rPr>
                <w:color w:val="0070C0"/>
              </w:rPr>
            </w:pPr>
            <w:r w:rsidRPr="00B601A8">
              <w:rPr>
                <w:rFonts w:ascii="Times New Roman" w:eastAsia="Times New Roman" w:hAnsi="Times New Roman" w:cs="Times New Roman"/>
                <w:color w:val="0070C0"/>
                <w:sz w:val="20"/>
              </w:rPr>
              <w:t xml:space="preserve"> </w:t>
            </w:r>
            <w:r w:rsidR="00921D4F" w:rsidRPr="00B601A8">
              <w:rPr>
                <w:rFonts w:ascii="Times New Roman" w:eastAsia="Times New Roman" w:hAnsi="Times New Roman" w:cs="Times New Roman"/>
                <w:color w:val="0070C0"/>
                <w:sz w:val="20"/>
              </w:rPr>
              <w:t>Nie dotyczy</w:t>
            </w:r>
          </w:p>
        </w:tc>
      </w:tr>
    </w:tbl>
    <w:p w:rsidR="001C505B" w:rsidRDefault="001C505B">
      <w:pPr>
        <w:spacing w:after="0"/>
        <w:ind w:left="-1020" w:right="218"/>
      </w:pPr>
    </w:p>
    <w:tbl>
      <w:tblPr>
        <w:tblStyle w:val="TableGrid"/>
        <w:tblW w:w="9644" w:type="dxa"/>
        <w:tblInd w:w="6" w:type="dxa"/>
        <w:tblCellMar>
          <w:top w:w="52" w:type="dxa"/>
          <w:left w:w="107" w:type="dxa"/>
          <w:right w:w="70" w:type="dxa"/>
        </w:tblCellMar>
        <w:tblLook w:val="04A0"/>
      </w:tblPr>
      <w:tblGrid>
        <w:gridCol w:w="2970"/>
        <w:gridCol w:w="3256"/>
        <w:gridCol w:w="3418"/>
      </w:tblGrid>
      <w:tr w:rsidR="001C505B">
        <w:trPr>
          <w:trHeight w:val="986"/>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decyzja o zezwoleniu na realizację inwestycji w zakresie lotniska użytku publicznego </w:t>
            </w:r>
          </w:p>
        </w:tc>
        <w:tc>
          <w:tcPr>
            <w:tcW w:w="3418" w:type="dxa"/>
            <w:tcBorders>
              <w:top w:val="single" w:sz="4" w:space="0" w:color="000000"/>
              <w:left w:val="single" w:sz="4" w:space="0" w:color="000000"/>
              <w:bottom w:val="single" w:sz="4" w:space="0" w:color="000000"/>
              <w:right w:val="single" w:sz="4" w:space="0" w:color="000000"/>
            </w:tcBorders>
          </w:tcPr>
          <w:p w:rsidR="001C505B" w:rsidRDefault="00E81E84">
            <w:pPr>
              <w:ind w:left="1"/>
            </w:pPr>
            <w:r>
              <w:rPr>
                <w:rFonts w:ascii="Times New Roman" w:eastAsia="Times New Roman" w:hAnsi="Times New Roman" w:cs="Times New Roman"/>
                <w:sz w:val="20"/>
              </w:rPr>
              <w:t xml:space="preserve"> </w:t>
            </w:r>
            <w:r w:rsidR="00921D4F" w:rsidRPr="00B601A8">
              <w:rPr>
                <w:rFonts w:ascii="Times New Roman" w:eastAsia="Times New Roman" w:hAnsi="Times New Roman" w:cs="Times New Roman"/>
                <w:color w:val="0070C0"/>
                <w:sz w:val="20"/>
              </w:rPr>
              <w:t>Nie dotyczy</w:t>
            </w:r>
          </w:p>
        </w:tc>
      </w:tr>
      <w:tr w:rsidR="001C505B">
        <w:trPr>
          <w:trHeight w:val="987"/>
        </w:trPr>
        <w:tc>
          <w:tcPr>
            <w:tcW w:w="0" w:type="auto"/>
            <w:vMerge/>
            <w:tcBorders>
              <w:top w:val="nil"/>
              <w:left w:val="single" w:sz="4" w:space="0" w:color="000000"/>
              <w:bottom w:val="nil"/>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decyzja o pozwoleniu na realizację inwestycji w zakresie budowli przeciwpowodziowych </w:t>
            </w:r>
          </w:p>
        </w:tc>
        <w:tc>
          <w:tcPr>
            <w:tcW w:w="3418" w:type="dxa"/>
            <w:tcBorders>
              <w:top w:val="single" w:sz="4" w:space="0" w:color="000000"/>
              <w:left w:val="single" w:sz="4" w:space="0" w:color="000000"/>
              <w:bottom w:val="single" w:sz="4" w:space="0" w:color="000000"/>
              <w:right w:val="single" w:sz="4" w:space="0" w:color="000000"/>
            </w:tcBorders>
          </w:tcPr>
          <w:p w:rsidR="001C505B" w:rsidRDefault="00E81E84">
            <w:pPr>
              <w:ind w:left="1"/>
            </w:pPr>
            <w:r>
              <w:rPr>
                <w:rFonts w:ascii="Times New Roman" w:eastAsia="Times New Roman" w:hAnsi="Times New Roman" w:cs="Times New Roman"/>
                <w:sz w:val="20"/>
              </w:rPr>
              <w:t xml:space="preserve"> </w:t>
            </w:r>
            <w:r w:rsidR="00921D4F" w:rsidRPr="00B601A8">
              <w:rPr>
                <w:rFonts w:ascii="Times New Roman" w:eastAsia="Times New Roman" w:hAnsi="Times New Roman" w:cs="Times New Roman"/>
                <w:color w:val="0070C0"/>
                <w:sz w:val="20"/>
              </w:rPr>
              <w:t>Nie dotyczy</w:t>
            </w:r>
          </w:p>
        </w:tc>
      </w:tr>
      <w:tr w:rsidR="001C505B">
        <w:trPr>
          <w:trHeight w:val="988"/>
        </w:trPr>
        <w:tc>
          <w:tcPr>
            <w:tcW w:w="0" w:type="auto"/>
            <w:vMerge/>
            <w:tcBorders>
              <w:top w:val="nil"/>
              <w:left w:val="single" w:sz="4" w:space="0" w:color="000000"/>
              <w:bottom w:val="nil"/>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decyzja o ustaleniu lokalizacji inwestycji w zakresie budowy obiektu energetyki jądrowej </w:t>
            </w:r>
          </w:p>
        </w:tc>
        <w:tc>
          <w:tcPr>
            <w:tcW w:w="3418" w:type="dxa"/>
            <w:tcBorders>
              <w:top w:val="single" w:sz="4" w:space="0" w:color="000000"/>
              <w:left w:val="single" w:sz="4" w:space="0" w:color="000000"/>
              <w:bottom w:val="single" w:sz="4" w:space="0" w:color="000000"/>
              <w:right w:val="single" w:sz="4" w:space="0" w:color="000000"/>
            </w:tcBorders>
          </w:tcPr>
          <w:p w:rsidR="001C505B" w:rsidRDefault="00E81E84">
            <w:pPr>
              <w:ind w:left="1"/>
            </w:pPr>
            <w:r>
              <w:rPr>
                <w:rFonts w:ascii="Times New Roman" w:eastAsia="Times New Roman" w:hAnsi="Times New Roman" w:cs="Times New Roman"/>
                <w:sz w:val="20"/>
              </w:rPr>
              <w:t xml:space="preserve"> </w:t>
            </w:r>
            <w:r w:rsidR="00921D4F" w:rsidRPr="00B601A8">
              <w:rPr>
                <w:rFonts w:ascii="Times New Roman" w:eastAsia="Times New Roman" w:hAnsi="Times New Roman" w:cs="Times New Roman"/>
                <w:color w:val="0070C0"/>
                <w:sz w:val="20"/>
              </w:rPr>
              <w:t>Nie dotyczy</w:t>
            </w:r>
          </w:p>
        </w:tc>
      </w:tr>
      <w:tr w:rsidR="001C505B">
        <w:trPr>
          <w:trHeight w:val="988"/>
        </w:trPr>
        <w:tc>
          <w:tcPr>
            <w:tcW w:w="0" w:type="auto"/>
            <w:vMerge/>
            <w:tcBorders>
              <w:top w:val="nil"/>
              <w:left w:val="single" w:sz="4" w:space="0" w:color="000000"/>
              <w:bottom w:val="nil"/>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decyzja o ustaleniu lokalizacji strategicznej inwestycji w zakresie sieci przesyłowej </w:t>
            </w:r>
          </w:p>
        </w:tc>
        <w:tc>
          <w:tcPr>
            <w:tcW w:w="3418" w:type="dxa"/>
            <w:tcBorders>
              <w:top w:val="single" w:sz="4" w:space="0" w:color="000000"/>
              <w:left w:val="single" w:sz="4" w:space="0" w:color="000000"/>
              <w:bottom w:val="single" w:sz="4" w:space="0" w:color="000000"/>
              <w:right w:val="single" w:sz="4" w:space="0" w:color="000000"/>
            </w:tcBorders>
          </w:tcPr>
          <w:p w:rsidR="001C505B" w:rsidRDefault="00E81E84">
            <w:pPr>
              <w:ind w:left="1"/>
            </w:pPr>
            <w:r>
              <w:rPr>
                <w:rFonts w:ascii="Times New Roman" w:eastAsia="Times New Roman" w:hAnsi="Times New Roman" w:cs="Times New Roman"/>
                <w:sz w:val="20"/>
              </w:rPr>
              <w:t xml:space="preserve"> </w:t>
            </w:r>
            <w:r w:rsidR="00921D4F" w:rsidRPr="00B601A8">
              <w:rPr>
                <w:rFonts w:ascii="Times New Roman" w:eastAsia="Times New Roman" w:hAnsi="Times New Roman" w:cs="Times New Roman"/>
                <w:color w:val="0070C0"/>
                <w:sz w:val="20"/>
              </w:rPr>
              <w:t>Nie dotyczy</w:t>
            </w:r>
          </w:p>
        </w:tc>
      </w:tr>
      <w:tr w:rsidR="001C505B">
        <w:trPr>
          <w:trHeight w:val="724"/>
        </w:trPr>
        <w:tc>
          <w:tcPr>
            <w:tcW w:w="0" w:type="auto"/>
            <w:vMerge/>
            <w:tcBorders>
              <w:top w:val="nil"/>
              <w:left w:val="single" w:sz="4" w:space="0" w:color="000000"/>
              <w:bottom w:val="nil"/>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decyzja o ustaleniu lokalizacji regionalnej sieci szerokopasmowej </w:t>
            </w:r>
          </w:p>
        </w:tc>
        <w:tc>
          <w:tcPr>
            <w:tcW w:w="3418" w:type="dxa"/>
            <w:tcBorders>
              <w:top w:val="single" w:sz="4" w:space="0" w:color="000000"/>
              <w:left w:val="single" w:sz="4" w:space="0" w:color="000000"/>
              <w:bottom w:val="single" w:sz="4" w:space="0" w:color="000000"/>
              <w:right w:val="single" w:sz="4" w:space="0" w:color="000000"/>
            </w:tcBorders>
          </w:tcPr>
          <w:p w:rsidR="001C505B" w:rsidRDefault="00E81E84">
            <w:pPr>
              <w:ind w:left="1"/>
            </w:pPr>
            <w:r>
              <w:rPr>
                <w:rFonts w:ascii="Times New Roman" w:eastAsia="Times New Roman" w:hAnsi="Times New Roman" w:cs="Times New Roman"/>
                <w:sz w:val="20"/>
              </w:rPr>
              <w:t xml:space="preserve"> </w:t>
            </w:r>
            <w:r w:rsidR="00921D4F" w:rsidRPr="00B601A8">
              <w:rPr>
                <w:rFonts w:ascii="Times New Roman" w:eastAsia="Times New Roman" w:hAnsi="Times New Roman" w:cs="Times New Roman"/>
                <w:color w:val="0070C0"/>
                <w:sz w:val="20"/>
              </w:rPr>
              <w:t>Nie dotyczy</w:t>
            </w:r>
          </w:p>
        </w:tc>
      </w:tr>
      <w:tr w:rsidR="001C505B">
        <w:trPr>
          <w:trHeight w:val="986"/>
        </w:trPr>
        <w:tc>
          <w:tcPr>
            <w:tcW w:w="0" w:type="auto"/>
            <w:vMerge/>
            <w:tcBorders>
              <w:top w:val="nil"/>
              <w:left w:val="single" w:sz="4" w:space="0" w:color="000000"/>
              <w:bottom w:val="nil"/>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decyzja o ustaleniu lokalizacji inwestycji w zakresie Centralnego Portu Komunikacyjnego </w:t>
            </w:r>
          </w:p>
        </w:tc>
        <w:tc>
          <w:tcPr>
            <w:tcW w:w="3418" w:type="dxa"/>
            <w:tcBorders>
              <w:top w:val="single" w:sz="4" w:space="0" w:color="000000"/>
              <w:left w:val="single" w:sz="4" w:space="0" w:color="000000"/>
              <w:bottom w:val="single" w:sz="4" w:space="0" w:color="000000"/>
              <w:right w:val="single" w:sz="4" w:space="0" w:color="000000"/>
            </w:tcBorders>
          </w:tcPr>
          <w:p w:rsidR="001C505B" w:rsidRDefault="00E81E84">
            <w:pPr>
              <w:ind w:left="1"/>
            </w:pPr>
            <w:r>
              <w:rPr>
                <w:rFonts w:ascii="Times New Roman" w:eastAsia="Times New Roman" w:hAnsi="Times New Roman" w:cs="Times New Roman"/>
                <w:sz w:val="20"/>
              </w:rPr>
              <w:t xml:space="preserve"> </w:t>
            </w:r>
            <w:r w:rsidR="00921D4F" w:rsidRPr="00B601A8">
              <w:rPr>
                <w:rFonts w:ascii="Times New Roman" w:eastAsia="Times New Roman" w:hAnsi="Times New Roman" w:cs="Times New Roman"/>
                <w:color w:val="0070C0"/>
                <w:sz w:val="20"/>
              </w:rPr>
              <w:t>Nie dotyczy</w:t>
            </w:r>
          </w:p>
        </w:tc>
      </w:tr>
      <w:tr w:rsidR="001C505B">
        <w:trPr>
          <w:trHeight w:val="988"/>
        </w:trPr>
        <w:tc>
          <w:tcPr>
            <w:tcW w:w="0" w:type="auto"/>
            <w:vMerge/>
            <w:tcBorders>
              <w:top w:val="nil"/>
              <w:left w:val="single" w:sz="4" w:space="0" w:color="000000"/>
              <w:bottom w:val="nil"/>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decyzja o zezwoleniu na realizację inwestycji w zakresie infrastruktury dostępowej </w:t>
            </w:r>
          </w:p>
        </w:tc>
        <w:tc>
          <w:tcPr>
            <w:tcW w:w="3418" w:type="dxa"/>
            <w:tcBorders>
              <w:top w:val="single" w:sz="4" w:space="0" w:color="000000"/>
              <w:left w:val="single" w:sz="4" w:space="0" w:color="000000"/>
              <w:bottom w:val="single" w:sz="4" w:space="0" w:color="000000"/>
              <w:right w:val="single" w:sz="4" w:space="0" w:color="000000"/>
            </w:tcBorders>
          </w:tcPr>
          <w:p w:rsidR="001C505B" w:rsidRDefault="00E81E84">
            <w:pPr>
              <w:ind w:left="1"/>
            </w:pPr>
            <w:r>
              <w:rPr>
                <w:rFonts w:ascii="Times New Roman" w:eastAsia="Times New Roman" w:hAnsi="Times New Roman" w:cs="Times New Roman"/>
                <w:sz w:val="20"/>
              </w:rPr>
              <w:t xml:space="preserve"> </w:t>
            </w:r>
            <w:r w:rsidR="00921D4F" w:rsidRPr="00B601A8">
              <w:rPr>
                <w:rFonts w:ascii="Times New Roman" w:eastAsia="Times New Roman" w:hAnsi="Times New Roman" w:cs="Times New Roman"/>
                <w:color w:val="0070C0"/>
                <w:sz w:val="20"/>
              </w:rPr>
              <w:t>Nie dotyczy</w:t>
            </w:r>
          </w:p>
        </w:tc>
      </w:tr>
      <w:tr w:rsidR="001C505B">
        <w:trPr>
          <w:trHeight w:val="988"/>
        </w:trPr>
        <w:tc>
          <w:tcPr>
            <w:tcW w:w="0" w:type="auto"/>
            <w:vMerge/>
            <w:tcBorders>
              <w:top w:val="nil"/>
              <w:left w:val="single" w:sz="4" w:space="0" w:color="000000"/>
              <w:bottom w:val="nil"/>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spacing w:after="13"/>
              <w:ind w:left="2"/>
            </w:pPr>
            <w:r>
              <w:rPr>
                <w:rFonts w:ascii="Times New Roman" w:eastAsia="Times New Roman" w:hAnsi="Times New Roman" w:cs="Times New Roman"/>
                <w:sz w:val="20"/>
              </w:rPr>
              <w:t xml:space="preserve">decyzja o ustaleniu lokalizacji </w:t>
            </w:r>
          </w:p>
          <w:p w:rsidR="001C505B" w:rsidRDefault="00E81E84">
            <w:pPr>
              <w:spacing w:after="14"/>
              <w:ind w:left="2"/>
            </w:pPr>
            <w:r>
              <w:rPr>
                <w:rFonts w:ascii="Times New Roman" w:eastAsia="Times New Roman" w:hAnsi="Times New Roman" w:cs="Times New Roman"/>
                <w:sz w:val="20"/>
              </w:rPr>
              <w:t xml:space="preserve">strategicznej inwestycji w sektorze </w:t>
            </w:r>
          </w:p>
          <w:p w:rsidR="001C505B" w:rsidRDefault="00E81E84">
            <w:pPr>
              <w:ind w:left="2"/>
            </w:pPr>
            <w:r>
              <w:rPr>
                <w:rFonts w:ascii="Times New Roman" w:eastAsia="Times New Roman" w:hAnsi="Times New Roman" w:cs="Times New Roman"/>
                <w:sz w:val="20"/>
              </w:rPr>
              <w:t xml:space="preserve">naftowym </w:t>
            </w:r>
          </w:p>
        </w:tc>
        <w:tc>
          <w:tcPr>
            <w:tcW w:w="3418" w:type="dxa"/>
            <w:tcBorders>
              <w:top w:val="single" w:sz="4" w:space="0" w:color="000000"/>
              <w:left w:val="single" w:sz="4" w:space="0" w:color="000000"/>
              <w:bottom w:val="single" w:sz="4" w:space="0" w:color="000000"/>
              <w:right w:val="single" w:sz="4" w:space="0" w:color="000000"/>
            </w:tcBorders>
          </w:tcPr>
          <w:p w:rsidR="001C505B" w:rsidRDefault="00E81E84">
            <w:pPr>
              <w:ind w:left="1"/>
            </w:pPr>
            <w:r>
              <w:rPr>
                <w:rFonts w:ascii="Times New Roman" w:eastAsia="Times New Roman" w:hAnsi="Times New Roman" w:cs="Times New Roman"/>
                <w:sz w:val="20"/>
              </w:rPr>
              <w:t xml:space="preserve"> </w:t>
            </w:r>
            <w:r w:rsidR="00921D4F" w:rsidRPr="00B601A8">
              <w:rPr>
                <w:rFonts w:ascii="Times New Roman" w:eastAsia="Times New Roman" w:hAnsi="Times New Roman" w:cs="Times New Roman"/>
                <w:color w:val="0070C0"/>
                <w:sz w:val="20"/>
              </w:rPr>
              <w:t>Nie dotyczy</w:t>
            </w:r>
          </w:p>
        </w:tc>
      </w:tr>
      <w:tr w:rsidR="001C505B">
        <w:trPr>
          <w:trHeight w:val="988"/>
        </w:trPr>
        <w:tc>
          <w:tcPr>
            <w:tcW w:w="0" w:type="auto"/>
            <w:vMerge/>
            <w:tcBorders>
              <w:top w:val="nil"/>
              <w:left w:val="single" w:sz="4" w:space="0" w:color="000000"/>
              <w:bottom w:val="single" w:sz="4" w:space="0" w:color="000000"/>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spacing w:after="14"/>
              <w:ind w:left="2"/>
            </w:pPr>
            <w:r>
              <w:rPr>
                <w:rFonts w:ascii="Times New Roman" w:eastAsia="Times New Roman" w:hAnsi="Times New Roman" w:cs="Times New Roman"/>
                <w:sz w:val="20"/>
              </w:rPr>
              <w:t xml:space="preserve">decyzja o ustaleniu lokalizacji </w:t>
            </w:r>
          </w:p>
          <w:p w:rsidR="001C505B" w:rsidRDefault="00E81E84">
            <w:pPr>
              <w:spacing w:after="15"/>
              <w:ind w:left="2"/>
            </w:pPr>
            <w:r>
              <w:rPr>
                <w:rFonts w:ascii="Times New Roman" w:eastAsia="Times New Roman" w:hAnsi="Times New Roman" w:cs="Times New Roman"/>
                <w:sz w:val="20"/>
              </w:rPr>
              <w:t xml:space="preserve">strategicznej inwestycji w sektorze </w:t>
            </w:r>
          </w:p>
          <w:p w:rsidR="001C505B" w:rsidRDefault="00E81E84">
            <w:pPr>
              <w:ind w:left="2"/>
            </w:pPr>
            <w:r>
              <w:rPr>
                <w:rFonts w:ascii="Times New Roman" w:eastAsia="Times New Roman" w:hAnsi="Times New Roman" w:cs="Times New Roman"/>
                <w:sz w:val="20"/>
              </w:rPr>
              <w:t xml:space="preserve">naftowym </w:t>
            </w:r>
          </w:p>
        </w:tc>
        <w:tc>
          <w:tcPr>
            <w:tcW w:w="3418" w:type="dxa"/>
            <w:tcBorders>
              <w:top w:val="single" w:sz="4" w:space="0" w:color="000000"/>
              <w:left w:val="single" w:sz="4" w:space="0" w:color="000000"/>
              <w:bottom w:val="single" w:sz="4" w:space="0" w:color="000000"/>
              <w:right w:val="single" w:sz="4" w:space="0" w:color="000000"/>
            </w:tcBorders>
          </w:tcPr>
          <w:p w:rsidR="001C505B" w:rsidRDefault="00E81E84">
            <w:pPr>
              <w:ind w:left="1"/>
            </w:pPr>
            <w:r>
              <w:rPr>
                <w:rFonts w:ascii="Times New Roman" w:eastAsia="Times New Roman" w:hAnsi="Times New Roman" w:cs="Times New Roman"/>
                <w:sz w:val="20"/>
              </w:rPr>
              <w:t xml:space="preserve"> </w:t>
            </w:r>
            <w:r w:rsidR="00921D4F" w:rsidRPr="00B601A8">
              <w:rPr>
                <w:rFonts w:ascii="Times New Roman" w:eastAsia="Times New Roman" w:hAnsi="Times New Roman" w:cs="Times New Roman"/>
                <w:color w:val="0070C0"/>
                <w:sz w:val="20"/>
              </w:rPr>
              <w:t>Nie dotyczy</w:t>
            </w:r>
          </w:p>
        </w:tc>
      </w:tr>
      <w:tr w:rsidR="001C505B">
        <w:trPr>
          <w:trHeight w:val="475"/>
        </w:trPr>
        <w:tc>
          <w:tcPr>
            <w:tcW w:w="6226" w:type="dxa"/>
            <w:gridSpan w:val="2"/>
            <w:tcBorders>
              <w:top w:val="single" w:sz="4" w:space="0" w:color="000000"/>
              <w:left w:val="single" w:sz="4" w:space="0" w:color="000000"/>
              <w:bottom w:val="single" w:sz="4" w:space="0" w:color="000000"/>
              <w:right w:val="nil"/>
            </w:tcBorders>
            <w:shd w:val="clear" w:color="auto" w:fill="D9D9D9"/>
            <w:vAlign w:val="center"/>
          </w:tcPr>
          <w:p w:rsidR="001C505B" w:rsidRDefault="00E81E84">
            <w:r>
              <w:rPr>
                <w:rFonts w:ascii="Times New Roman" w:eastAsia="Times New Roman" w:hAnsi="Times New Roman" w:cs="Times New Roman"/>
                <w:b/>
                <w:sz w:val="20"/>
              </w:rPr>
              <w:t>INFORMACJE DOTYCZĄCE BUDYNKU</w:t>
            </w:r>
            <w:r>
              <w:rPr>
                <w:rFonts w:ascii="Times New Roman" w:eastAsia="Times New Roman" w:hAnsi="Times New Roman" w:cs="Times New Roman"/>
                <w:sz w:val="20"/>
              </w:rPr>
              <w:t xml:space="preserve"> </w:t>
            </w:r>
          </w:p>
        </w:tc>
        <w:tc>
          <w:tcPr>
            <w:tcW w:w="3418" w:type="dxa"/>
            <w:tcBorders>
              <w:top w:val="single" w:sz="4" w:space="0" w:color="000000"/>
              <w:left w:val="nil"/>
              <w:bottom w:val="single" w:sz="4" w:space="0" w:color="000000"/>
              <w:right w:val="single" w:sz="4" w:space="0" w:color="000000"/>
            </w:tcBorders>
            <w:shd w:val="clear" w:color="auto" w:fill="D9D9D9"/>
          </w:tcPr>
          <w:p w:rsidR="001C505B" w:rsidRDefault="001C505B"/>
        </w:tc>
      </w:tr>
      <w:tr w:rsidR="001C505B">
        <w:trPr>
          <w:trHeight w:val="510"/>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rsidR="001C505B" w:rsidRDefault="00E81E84">
            <w:r>
              <w:rPr>
                <w:rFonts w:ascii="Times New Roman" w:eastAsia="Times New Roman" w:hAnsi="Times New Roman" w:cs="Times New Roman"/>
                <w:sz w:val="20"/>
              </w:rPr>
              <w:t xml:space="preserve">Czy jest pozwolenie na budowę </w:t>
            </w:r>
          </w:p>
        </w:tc>
        <w:tc>
          <w:tcPr>
            <w:tcW w:w="3256" w:type="dxa"/>
            <w:tcBorders>
              <w:top w:val="single" w:sz="4" w:space="0" w:color="000000"/>
              <w:left w:val="single" w:sz="4" w:space="0" w:color="000000"/>
              <w:bottom w:val="single" w:sz="4" w:space="0" w:color="000000"/>
              <w:right w:val="single" w:sz="4" w:space="0" w:color="000000"/>
            </w:tcBorders>
            <w:vAlign w:val="center"/>
          </w:tcPr>
          <w:p w:rsidR="001C505B" w:rsidRDefault="00E81E84">
            <w:pPr>
              <w:ind w:right="9"/>
              <w:jc w:val="center"/>
            </w:pPr>
            <w:r>
              <w:rPr>
                <w:rFonts w:ascii="Times New Roman" w:eastAsia="Times New Roman" w:hAnsi="Times New Roman" w:cs="Times New Roman"/>
                <w:sz w:val="20"/>
              </w:rPr>
              <w:t xml:space="preserve">tak* </w:t>
            </w:r>
          </w:p>
        </w:tc>
        <w:tc>
          <w:tcPr>
            <w:tcW w:w="3418" w:type="dxa"/>
            <w:tcBorders>
              <w:top w:val="single" w:sz="4" w:space="0" w:color="000000"/>
              <w:left w:val="single" w:sz="4" w:space="0" w:color="000000"/>
              <w:bottom w:val="single" w:sz="4" w:space="0" w:color="000000"/>
              <w:right w:val="single" w:sz="4" w:space="0" w:color="000000"/>
            </w:tcBorders>
            <w:vAlign w:val="center"/>
          </w:tcPr>
          <w:p w:rsidR="001C505B" w:rsidRDefault="00E81E84">
            <w:pPr>
              <w:ind w:right="9"/>
              <w:jc w:val="center"/>
            </w:pPr>
            <w:r w:rsidRPr="00921D4F">
              <w:rPr>
                <w:rFonts w:ascii="Times New Roman" w:eastAsia="Times New Roman" w:hAnsi="Times New Roman" w:cs="Times New Roman"/>
                <w:strike/>
                <w:sz w:val="20"/>
              </w:rPr>
              <w:t>nie</w:t>
            </w:r>
            <w:r>
              <w:rPr>
                <w:rFonts w:ascii="Times New Roman" w:eastAsia="Times New Roman" w:hAnsi="Times New Roman" w:cs="Times New Roman"/>
                <w:sz w:val="20"/>
              </w:rPr>
              <w:t xml:space="preserve">* </w:t>
            </w:r>
          </w:p>
        </w:tc>
      </w:tr>
      <w:tr w:rsidR="001C505B">
        <w:trPr>
          <w:trHeight w:val="701"/>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rsidR="001C505B" w:rsidRDefault="00E81E84">
            <w:r>
              <w:rPr>
                <w:rFonts w:ascii="Times New Roman" w:eastAsia="Times New Roman" w:hAnsi="Times New Roman" w:cs="Times New Roman"/>
                <w:sz w:val="20"/>
              </w:rPr>
              <w:t xml:space="preserve">Czy pozwolenie na budowę jest ostateczne </w:t>
            </w:r>
          </w:p>
        </w:tc>
        <w:tc>
          <w:tcPr>
            <w:tcW w:w="3256" w:type="dxa"/>
            <w:tcBorders>
              <w:top w:val="single" w:sz="4" w:space="0" w:color="000000"/>
              <w:left w:val="single" w:sz="4" w:space="0" w:color="000000"/>
              <w:bottom w:val="single" w:sz="4" w:space="0" w:color="000000"/>
              <w:right w:val="single" w:sz="4" w:space="0" w:color="000000"/>
            </w:tcBorders>
            <w:vAlign w:val="center"/>
          </w:tcPr>
          <w:p w:rsidR="001C505B" w:rsidRDefault="00E81E84">
            <w:pPr>
              <w:ind w:right="9"/>
              <w:jc w:val="center"/>
            </w:pPr>
            <w:r>
              <w:rPr>
                <w:rFonts w:ascii="Times New Roman" w:eastAsia="Times New Roman" w:hAnsi="Times New Roman" w:cs="Times New Roman"/>
                <w:sz w:val="20"/>
              </w:rPr>
              <w:t xml:space="preserve">tak* </w:t>
            </w:r>
          </w:p>
        </w:tc>
        <w:tc>
          <w:tcPr>
            <w:tcW w:w="3418" w:type="dxa"/>
            <w:tcBorders>
              <w:top w:val="single" w:sz="4" w:space="0" w:color="000000"/>
              <w:left w:val="single" w:sz="4" w:space="0" w:color="000000"/>
              <w:bottom w:val="single" w:sz="4" w:space="0" w:color="000000"/>
              <w:right w:val="single" w:sz="4" w:space="0" w:color="000000"/>
            </w:tcBorders>
            <w:vAlign w:val="center"/>
          </w:tcPr>
          <w:p w:rsidR="001C505B" w:rsidRPr="00921D4F" w:rsidRDefault="00E81E84">
            <w:pPr>
              <w:ind w:right="9"/>
              <w:jc w:val="center"/>
              <w:rPr>
                <w:strike/>
              </w:rPr>
            </w:pPr>
            <w:r w:rsidRPr="00921D4F">
              <w:rPr>
                <w:rFonts w:ascii="Times New Roman" w:eastAsia="Times New Roman" w:hAnsi="Times New Roman" w:cs="Times New Roman"/>
                <w:strike/>
                <w:sz w:val="20"/>
              </w:rPr>
              <w:t xml:space="preserve">nie* </w:t>
            </w:r>
          </w:p>
        </w:tc>
      </w:tr>
      <w:tr w:rsidR="001C505B">
        <w:trPr>
          <w:trHeight w:val="710"/>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rsidR="001C505B" w:rsidRDefault="00E81E84">
            <w:r>
              <w:rPr>
                <w:rFonts w:ascii="Times New Roman" w:eastAsia="Times New Roman" w:hAnsi="Times New Roman" w:cs="Times New Roman"/>
                <w:sz w:val="20"/>
              </w:rPr>
              <w:t xml:space="preserve">Czy pozwolenie na budowę jest zaskarżone </w:t>
            </w:r>
          </w:p>
        </w:tc>
        <w:tc>
          <w:tcPr>
            <w:tcW w:w="3256" w:type="dxa"/>
            <w:tcBorders>
              <w:top w:val="single" w:sz="4" w:space="0" w:color="000000"/>
              <w:left w:val="single" w:sz="4" w:space="0" w:color="000000"/>
              <w:bottom w:val="single" w:sz="4" w:space="0" w:color="000000"/>
              <w:right w:val="single" w:sz="4" w:space="0" w:color="000000"/>
            </w:tcBorders>
            <w:vAlign w:val="center"/>
          </w:tcPr>
          <w:p w:rsidR="001C505B" w:rsidRPr="00921D4F" w:rsidRDefault="00E81E84">
            <w:pPr>
              <w:ind w:right="9"/>
              <w:jc w:val="center"/>
              <w:rPr>
                <w:strike/>
              </w:rPr>
            </w:pPr>
            <w:r w:rsidRPr="00921D4F">
              <w:rPr>
                <w:rFonts w:ascii="Times New Roman" w:eastAsia="Times New Roman" w:hAnsi="Times New Roman" w:cs="Times New Roman"/>
                <w:strike/>
                <w:sz w:val="20"/>
              </w:rPr>
              <w:t xml:space="preserve">tak* </w:t>
            </w:r>
          </w:p>
        </w:tc>
        <w:tc>
          <w:tcPr>
            <w:tcW w:w="3418" w:type="dxa"/>
            <w:tcBorders>
              <w:top w:val="single" w:sz="4" w:space="0" w:color="000000"/>
              <w:left w:val="single" w:sz="4" w:space="0" w:color="000000"/>
              <w:bottom w:val="single" w:sz="4" w:space="0" w:color="000000"/>
              <w:right w:val="single" w:sz="4" w:space="0" w:color="000000"/>
            </w:tcBorders>
            <w:vAlign w:val="center"/>
          </w:tcPr>
          <w:p w:rsidR="001C505B" w:rsidRDefault="00E81E84">
            <w:pPr>
              <w:ind w:right="9"/>
              <w:jc w:val="center"/>
            </w:pPr>
            <w:r>
              <w:rPr>
                <w:rFonts w:ascii="Times New Roman" w:eastAsia="Times New Roman" w:hAnsi="Times New Roman" w:cs="Times New Roman"/>
                <w:sz w:val="20"/>
              </w:rPr>
              <w:t xml:space="preserve">nie* </w:t>
            </w:r>
          </w:p>
        </w:tc>
      </w:tr>
      <w:tr w:rsidR="001C505B">
        <w:trPr>
          <w:trHeight w:val="733"/>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rsidR="001C505B" w:rsidRDefault="00E81E84">
            <w:pPr>
              <w:jc w:val="both"/>
            </w:pPr>
            <w:r>
              <w:rPr>
                <w:rFonts w:ascii="Times New Roman" w:eastAsia="Times New Roman" w:hAnsi="Times New Roman" w:cs="Times New Roman"/>
                <w:sz w:val="20"/>
              </w:rPr>
              <w:t xml:space="preserve">Numer pozwolenia na budowę oraz nazwa organu, który je wydał </w:t>
            </w:r>
          </w:p>
        </w:tc>
        <w:tc>
          <w:tcPr>
            <w:tcW w:w="3256" w:type="dxa"/>
            <w:tcBorders>
              <w:top w:val="single" w:sz="4" w:space="0" w:color="000000"/>
              <w:left w:val="single" w:sz="4" w:space="0" w:color="000000"/>
              <w:bottom w:val="single" w:sz="4" w:space="0" w:color="000000"/>
              <w:right w:val="nil"/>
            </w:tcBorders>
          </w:tcPr>
          <w:p w:rsidR="00921D4F" w:rsidRPr="00921D4F" w:rsidRDefault="00E81E84" w:rsidP="00921D4F">
            <w:pPr>
              <w:ind w:left="2"/>
              <w:rPr>
                <w:rFonts w:ascii="Times New Roman" w:eastAsia="Times New Roman" w:hAnsi="Times New Roman" w:cs="Times New Roman"/>
                <w:color w:val="0070C0"/>
                <w:sz w:val="20"/>
              </w:rPr>
            </w:pPr>
            <w:r>
              <w:rPr>
                <w:rFonts w:ascii="Times New Roman" w:eastAsia="Times New Roman" w:hAnsi="Times New Roman" w:cs="Times New Roman"/>
                <w:sz w:val="20"/>
              </w:rPr>
              <w:t xml:space="preserve"> </w:t>
            </w:r>
            <w:r w:rsidR="00921D4F" w:rsidRPr="00921D4F">
              <w:rPr>
                <w:rFonts w:ascii="Times New Roman" w:eastAsia="Times New Roman" w:hAnsi="Times New Roman" w:cs="Times New Roman"/>
                <w:color w:val="0070C0"/>
                <w:sz w:val="20"/>
              </w:rPr>
              <w:t>Nr pozwolenia na budowę: decyzja nr 270/25, nr WBUA.6740.01.0207.2025 z dnia 19-08-2025r</w:t>
            </w:r>
          </w:p>
          <w:p w:rsidR="001C505B" w:rsidRDefault="00921D4F" w:rsidP="00921D4F">
            <w:pPr>
              <w:ind w:left="2"/>
            </w:pPr>
            <w:r w:rsidRPr="00921D4F">
              <w:rPr>
                <w:rFonts w:ascii="Times New Roman" w:eastAsia="Times New Roman" w:hAnsi="Times New Roman" w:cs="Times New Roman"/>
                <w:color w:val="0070C0"/>
                <w:sz w:val="20"/>
              </w:rPr>
              <w:t xml:space="preserve">Wydana przez Prezydenta Miasta </w:t>
            </w:r>
            <w:r w:rsidRPr="00921D4F">
              <w:rPr>
                <w:rFonts w:ascii="Times New Roman" w:eastAsia="Times New Roman" w:hAnsi="Times New Roman" w:cs="Times New Roman"/>
                <w:color w:val="0070C0"/>
                <w:sz w:val="20"/>
              </w:rPr>
              <w:lastRenderedPageBreak/>
              <w:t>Kalisza</w:t>
            </w:r>
          </w:p>
        </w:tc>
        <w:tc>
          <w:tcPr>
            <w:tcW w:w="3418" w:type="dxa"/>
            <w:tcBorders>
              <w:top w:val="single" w:sz="4" w:space="0" w:color="000000"/>
              <w:left w:val="nil"/>
              <w:bottom w:val="single" w:sz="4" w:space="0" w:color="000000"/>
              <w:right w:val="single" w:sz="4" w:space="0" w:color="000000"/>
            </w:tcBorders>
          </w:tcPr>
          <w:p w:rsidR="001C505B" w:rsidRDefault="001C505B"/>
        </w:tc>
      </w:tr>
      <w:tr w:rsidR="001C505B">
        <w:trPr>
          <w:trHeight w:val="998"/>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rsidR="001C505B" w:rsidRDefault="00E81E84">
            <w:pPr>
              <w:ind w:right="2"/>
            </w:pPr>
            <w:r>
              <w:rPr>
                <w:rFonts w:ascii="Times New Roman" w:eastAsia="Times New Roman" w:hAnsi="Times New Roman" w:cs="Times New Roman"/>
                <w:sz w:val="20"/>
              </w:rPr>
              <w:lastRenderedPageBreak/>
              <w:t xml:space="preserve">Data uprawomocnienia się decyzji o pozwoleniu na użytkowanie budynku </w:t>
            </w:r>
          </w:p>
        </w:tc>
        <w:tc>
          <w:tcPr>
            <w:tcW w:w="3256" w:type="dxa"/>
            <w:tcBorders>
              <w:top w:val="single" w:sz="4" w:space="0" w:color="000000"/>
              <w:left w:val="single" w:sz="4" w:space="0" w:color="000000"/>
              <w:bottom w:val="single" w:sz="4" w:space="0" w:color="000000"/>
              <w:right w:val="nil"/>
            </w:tcBorders>
          </w:tcPr>
          <w:p w:rsidR="001C505B" w:rsidRDefault="00E81E84">
            <w:pPr>
              <w:ind w:left="2"/>
            </w:pPr>
            <w:r>
              <w:rPr>
                <w:rFonts w:ascii="Times New Roman" w:eastAsia="Times New Roman" w:hAnsi="Times New Roman" w:cs="Times New Roman"/>
                <w:sz w:val="20"/>
              </w:rPr>
              <w:t xml:space="preserve"> </w:t>
            </w:r>
            <w:r w:rsidR="00921D4F" w:rsidRPr="00B601A8">
              <w:rPr>
                <w:rFonts w:ascii="Times New Roman" w:eastAsia="Times New Roman" w:hAnsi="Times New Roman" w:cs="Times New Roman"/>
                <w:color w:val="0070C0"/>
                <w:sz w:val="20"/>
              </w:rPr>
              <w:t>Nie dotyczy</w:t>
            </w:r>
          </w:p>
        </w:tc>
        <w:tc>
          <w:tcPr>
            <w:tcW w:w="3418" w:type="dxa"/>
            <w:tcBorders>
              <w:top w:val="single" w:sz="4" w:space="0" w:color="000000"/>
              <w:left w:val="nil"/>
              <w:bottom w:val="single" w:sz="4" w:space="0" w:color="000000"/>
              <w:right w:val="single" w:sz="4" w:space="0" w:color="000000"/>
            </w:tcBorders>
          </w:tcPr>
          <w:p w:rsidR="001C505B" w:rsidRDefault="001C505B"/>
        </w:tc>
      </w:tr>
      <w:tr w:rsidR="001C505B">
        <w:trPr>
          <w:trHeight w:val="2531"/>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rsidR="001C505B" w:rsidRDefault="00E81E84">
            <w:pPr>
              <w:ind w:right="47"/>
            </w:pPr>
            <w:r>
              <w:rPr>
                <w:rFonts w:ascii="Times New Roman" w:eastAsia="Times New Roman" w:hAnsi="Times New Roman" w:cs="Times New Roman"/>
                <w:sz w:val="20"/>
              </w:rPr>
              <w:t xml:space="preserve">Numer zgłoszenia budowy,  o której mowa w art. 29 ust. 1 pkt 1 ustawy z dnia 7 lipca 1994 r. – Prawo budowlane (Dz. U. z 2023 r. poz. 682, z </w:t>
            </w:r>
            <w:proofErr w:type="spellStart"/>
            <w:r>
              <w:rPr>
                <w:rFonts w:ascii="Times New Roman" w:eastAsia="Times New Roman" w:hAnsi="Times New Roman" w:cs="Times New Roman"/>
                <w:sz w:val="20"/>
              </w:rPr>
              <w:t>późn</w:t>
            </w:r>
            <w:proofErr w:type="spellEnd"/>
            <w:r>
              <w:rPr>
                <w:rFonts w:ascii="Times New Roman" w:eastAsia="Times New Roman" w:hAnsi="Times New Roman" w:cs="Times New Roman"/>
                <w:sz w:val="20"/>
              </w:rPr>
              <w:t xml:space="preserve">. zm.), oraz oznaczenie organu, do którego dokonano zgłoszenia, wraz z informacją o braku wniesienia sprzeciwu przez ten organ </w:t>
            </w:r>
          </w:p>
        </w:tc>
        <w:tc>
          <w:tcPr>
            <w:tcW w:w="3256" w:type="dxa"/>
            <w:tcBorders>
              <w:top w:val="single" w:sz="4" w:space="0" w:color="000000"/>
              <w:left w:val="single" w:sz="4" w:space="0" w:color="000000"/>
              <w:bottom w:val="single" w:sz="4" w:space="0" w:color="000000"/>
              <w:right w:val="nil"/>
            </w:tcBorders>
          </w:tcPr>
          <w:p w:rsidR="001C505B" w:rsidRDefault="00E81E84">
            <w:pPr>
              <w:ind w:left="2"/>
            </w:pPr>
            <w:r>
              <w:rPr>
                <w:rFonts w:ascii="Times New Roman" w:eastAsia="Times New Roman" w:hAnsi="Times New Roman" w:cs="Times New Roman"/>
                <w:sz w:val="20"/>
              </w:rPr>
              <w:t xml:space="preserve"> </w:t>
            </w:r>
            <w:r w:rsidR="00921D4F" w:rsidRPr="00B601A8">
              <w:rPr>
                <w:rFonts w:ascii="Times New Roman" w:eastAsia="Times New Roman" w:hAnsi="Times New Roman" w:cs="Times New Roman"/>
                <w:color w:val="0070C0"/>
                <w:sz w:val="20"/>
              </w:rPr>
              <w:t>Nie dotyczy</w:t>
            </w:r>
          </w:p>
        </w:tc>
        <w:tc>
          <w:tcPr>
            <w:tcW w:w="3418" w:type="dxa"/>
            <w:tcBorders>
              <w:top w:val="single" w:sz="4" w:space="0" w:color="000000"/>
              <w:left w:val="nil"/>
              <w:bottom w:val="single" w:sz="4" w:space="0" w:color="000000"/>
              <w:right w:val="single" w:sz="4" w:space="0" w:color="000000"/>
            </w:tcBorders>
          </w:tcPr>
          <w:p w:rsidR="001C505B" w:rsidRDefault="001C505B"/>
        </w:tc>
      </w:tr>
      <w:tr w:rsidR="001C505B">
        <w:trPr>
          <w:trHeight w:val="752"/>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rsidR="001C505B" w:rsidRDefault="00E81E84">
            <w:r>
              <w:rPr>
                <w:rFonts w:ascii="Times New Roman" w:eastAsia="Times New Roman" w:hAnsi="Times New Roman" w:cs="Times New Roman"/>
                <w:sz w:val="20"/>
              </w:rPr>
              <w:t xml:space="preserve">Data zakończenia budowy domu jednorodzinnego </w:t>
            </w:r>
          </w:p>
        </w:tc>
        <w:tc>
          <w:tcPr>
            <w:tcW w:w="3256" w:type="dxa"/>
            <w:tcBorders>
              <w:top w:val="single" w:sz="4" w:space="0" w:color="000000"/>
              <w:left w:val="single" w:sz="4" w:space="0" w:color="000000"/>
              <w:bottom w:val="single" w:sz="4" w:space="0" w:color="000000"/>
              <w:right w:val="nil"/>
            </w:tcBorders>
          </w:tcPr>
          <w:p w:rsidR="001C505B" w:rsidRDefault="00E81E84">
            <w:pPr>
              <w:ind w:left="2"/>
            </w:pPr>
            <w:r>
              <w:rPr>
                <w:rFonts w:ascii="Times New Roman" w:eastAsia="Times New Roman" w:hAnsi="Times New Roman" w:cs="Times New Roman"/>
                <w:sz w:val="20"/>
              </w:rPr>
              <w:t xml:space="preserve"> </w:t>
            </w:r>
            <w:r w:rsidR="00921D4F" w:rsidRPr="00B601A8">
              <w:rPr>
                <w:rFonts w:ascii="Times New Roman" w:eastAsia="Times New Roman" w:hAnsi="Times New Roman" w:cs="Times New Roman"/>
                <w:color w:val="0070C0"/>
                <w:sz w:val="20"/>
              </w:rPr>
              <w:t>Nie dotyczy</w:t>
            </w:r>
          </w:p>
        </w:tc>
        <w:tc>
          <w:tcPr>
            <w:tcW w:w="3418" w:type="dxa"/>
            <w:tcBorders>
              <w:top w:val="single" w:sz="4" w:space="0" w:color="000000"/>
              <w:left w:val="nil"/>
              <w:bottom w:val="single" w:sz="4" w:space="0" w:color="000000"/>
              <w:right w:val="single" w:sz="4" w:space="0" w:color="000000"/>
            </w:tcBorders>
          </w:tcPr>
          <w:p w:rsidR="001C505B" w:rsidRDefault="001C505B"/>
        </w:tc>
      </w:tr>
      <w:tr w:rsidR="001C505B">
        <w:trPr>
          <w:trHeight w:val="720"/>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rsidR="001C505B" w:rsidRDefault="00E81E84">
            <w:pPr>
              <w:ind w:right="100"/>
            </w:pPr>
            <w:r>
              <w:rPr>
                <w:rFonts w:ascii="Times New Roman" w:eastAsia="Times New Roman" w:hAnsi="Times New Roman" w:cs="Times New Roman"/>
                <w:sz w:val="20"/>
              </w:rPr>
              <w:t xml:space="preserve">Planowany termin rozpoczęcia i zakończenia robót budowlanych </w:t>
            </w:r>
          </w:p>
        </w:tc>
        <w:tc>
          <w:tcPr>
            <w:tcW w:w="3256" w:type="dxa"/>
            <w:tcBorders>
              <w:top w:val="single" w:sz="4" w:space="0" w:color="000000"/>
              <w:left w:val="single" w:sz="4" w:space="0" w:color="000000"/>
              <w:bottom w:val="single" w:sz="4" w:space="0" w:color="000000"/>
              <w:right w:val="nil"/>
            </w:tcBorders>
          </w:tcPr>
          <w:p w:rsidR="00F55079" w:rsidRPr="00921D4F" w:rsidRDefault="00E81E84" w:rsidP="00F55079">
            <w:pPr>
              <w:ind w:left="2"/>
              <w:rPr>
                <w:rFonts w:ascii="Times New Roman" w:eastAsia="Times New Roman" w:hAnsi="Times New Roman" w:cs="Times New Roman"/>
                <w:color w:val="0070C0"/>
                <w:sz w:val="20"/>
              </w:rPr>
            </w:pPr>
            <w:r>
              <w:rPr>
                <w:rFonts w:ascii="Times New Roman" w:eastAsia="Times New Roman" w:hAnsi="Times New Roman" w:cs="Times New Roman"/>
                <w:sz w:val="20"/>
              </w:rPr>
              <w:t xml:space="preserve"> </w:t>
            </w:r>
            <w:r w:rsidR="00F55079" w:rsidRPr="00921D4F">
              <w:rPr>
                <w:rFonts w:ascii="Times New Roman" w:eastAsia="Times New Roman" w:hAnsi="Times New Roman" w:cs="Times New Roman"/>
                <w:color w:val="0070C0"/>
                <w:sz w:val="20"/>
              </w:rPr>
              <w:t>Rozpoczęcie: 02-10-2025</w:t>
            </w:r>
          </w:p>
          <w:p w:rsidR="00F55079" w:rsidRPr="00921D4F" w:rsidRDefault="00F55079" w:rsidP="00F55079">
            <w:pPr>
              <w:ind w:left="2"/>
              <w:rPr>
                <w:rFonts w:ascii="Times New Roman" w:eastAsia="Times New Roman" w:hAnsi="Times New Roman" w:cs="Times New Roman"/>
                <w:color w:val="0070C0"/>
                <w:sz w:val="20"/>
              </w:rPr>
            </w:pPr>
            <w:r w:rsidRPr="00921D4F">
              <w:rPr>
                <w:rFonts w:ascii="Times New Roman" w:eastAsia="Times New Roman" w:hAnsi="Times New Roman" w:cs="Times New Roman"/>
                <w:color w:val="0070C0"/>
                <w:sz w:val="20"/>
              </w:rPr>
              <w:t>Zakończenie: 30-11-2026</w:t>
            </w:r>
          </w:p>
          <w:p w:rsidR="001C505B" w:rsidRDefault="001C505B">
            <w:pPr>
              <w:ind w:left="2"/>
            </w:pPr>
          </w:p>
        </w:tc>
        <w:tc>
          <w:tcPr>
            <w:tcW w:w="3418" w:type="dxa"/>
            <w:tcBorders>
              <w:top w:val="single" w:sz="4" w:space="0" w:color="000000"/>
              <w:left w:val="nil"/>
              <w:bottom w:val="single" w:sz="4" w:space="0" w:color="000000"/>
              <w:right w:val="single" w:sz="4" w:space="0" w:color="000000"/>
            </w:tcBorders>
          </w:tcPr>
          <w:p w:rsidR="001C505B" w:rsidRDefault="001C505B"/>
        </w:tc>
      </w:tr>
      <w:tr w:rsidR="001C505B">
        <w:trPr>
          <w:trHeight w:val="466"/>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rsidR="001C505B" w:rsidRDefault="00E81E84">
            <w:r>
              <w:rPr>
                <w:rFonts w:ascii="Times New Roman" w:eastAsia="Times New Roman" w:hAnsi="Times New Roman" w:cs="Times New Roman"/>
                <w:sz w:val="20"/>
              </w:rPr>
              <w:t xml:space="preserve">Opis przedsięwzięcia deweloperskiego lub zadania inwestycyjnego </w:t>
            </w:r>
          </w:p>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Liczba budynków </w:t>
            </w:r>
          </w:p>
        </w:tc>
        <w:tc>
          <w:tcPr>
            <w:tcW w:w="3418" w:type="dxa"/>
            <w:tcBorders>
              <w:top w:val="single" w:sz="4" w:space="0" w:color="000000"/>
              <w:left w:val="single" w:sz="4" w:space="0" w:color="000000"/>
              <w:bottom w:val="single" w:sz="4" w:space="0" w:color="000000"/>
              <w:right w:val="single" w:sz="4" w:space="0" w:color="000000"/>
            </w:tcBorders>
          </w:tcPr>
          <w:p w:rsidR="001C505B" w:rsidRDefault="00E81E84">
            <w:pPr>
              <w:ind w:left="1"/>
            </w:pPr>
            <w:r w:rsidRPr="00F55079">
              <w:rPr>
                <w:rFonts w:ascii="Times New Roman" w:eastAsia="Times New Roman" w:hAnsi="Times New Roman" w:cs="Times New Roman"/>
                <w:color w:val="0070C0"/>
                <w:sz w:val="20"/>
              </w:rPr>
              <w:t xml:space="preserve"> </w:t>
            </w:r>
            <w:r w:rsidR="00F55079" w:rsidRPr="00F55079">
              <w:rPr>
                <w:rFonts w:ascii="Times New Roman" w:eastAsia="Times New Roman" w:hAnsi="Times New Roman" w:cs="Times New Roman"/>
                <w:color w:val="0070C0"/>
                <w:sz w:val="20"/>
              </w:rPr>
              <w:t>1</w:t>
            </w:r>
          </w:p>
        </w:tc>
      </w:tr>
      <w:tr w:rsidR="001C505B">
        <w:trPr>
          <w:trHeight w:val="1094"/>
        </w:trPr>
        <w:tc>
          <w:tcPr>
            <w:tcW w:w="0" w:type="auto"/>
            <w:vMerge/>
            <w:tcBorders>
              <w:top w:val="nil"/>
              <w:left w:val="single" w:sz="4" w:space="0" w:color="000000"/>
              <w:bottom w:val="single" w:sz="4" w:space="0" w:color="000000"/>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right="52"/>
              <w:jc w:val="both"/>
            </w:pPr>
            <w:r>
              <w:rPr>
                <w:rFonts w:ascii="Times New Roman" w:eastAsia="Times New Roman" w:hAnsi="Times New Roman" w:cs="Times New Roman"/>
                <w:sz w:val="20"/>
              </w:rPr>
              <w:t xml:space="preserve">Rozmieszczenie budynków na nieruchomości (należy podać minimalny odstęp między budynkami) </w:t>
            </w:r>
          </w:p>
        </w:tc>
        <w:tc>
          <w:tcPr>
            <w:tcW w:w="3418" w:type="dxa"/>
            <w:tcBorders>
              <w:top w:val="single" w:sz="4" w:space="0" w:color="000000"/>
              <w:left w:val="single" w:sz="4" w:space="0" w:color="000000"/>
              <w:bottom w:val="single" w:sz="4" w:space="0" w:color="000000"/>
              <w:right w:val="single" w:sz="4" w:space="0" w:color="000000"/>
            </w:tcBorders>
          </w:tcPr>
          <w:p w:rsidR="00F55079" w:rsidRDefault="00E81E84">
            <w:pPr>
              <w:ind w:left="1"/>
            </w:pPr>
            <w:r>
              <w:rPr>
                <w:rFonts w:ascii="Times New Roman" w:eastAsia="Times New Roman" w:hAnsi="Times New Roman" w:cs="Times New Roman"/>
                <w:sz w:val="20"/>
              </w:rPr>
              <w:t xml:space="preserve"> </w:t>
            </w:r>
          </w:p>
          <w:p w:rsidR="00F55079" w:rsidRDefault="00F55079" w:rsidP="00F55079">
            <w:pPr>
              <w:spacing w:line="240" w:lineRule="auto"/>
              <w:rPr>
                <w:rFonts w:ascii="Verdana" w:hAnsi="Verdana"/>
                <w:color w:val="4472C4" w:themeColor="accent1"/>
                <w:sz w:val="24"/>
              </w:rPr>
            </w:pPr>
            <w:r>
              <w:rPr>
                <w:rFonts w:ascii="Verdana" w:hAnsi="Verdana"/>
                <w:color w:val="4472C4" w:themeColor="accent1"/>
                <w:sz w:val="24"/>
              </w:rPr>
              <w:t>Budynek stanowiący segment F będzie zlokalizowany w południowo-wschodniej części działki nr 62/3</w:t>
            </w:r>
          </w:p>
          <w:p w:rsidR="00F55079" w:rsidRDefault="00F55079" w:rsidP="00F55079">
            <w:pPr>
              <w:spacing w:line="240" w:lineRule="auto"/>
              <w:rPr>
                <w:rFonts w:ascii="Verdana" w:hAnsi="Verdana"/>
                <w:sz w:val="24"/>
              </w:rPr>
            </w:pPr>
          </w:p>
          <w:p w:rsidR="00F55079" w:rsidRDefault="00F55079" w:rsidP="00F55079">
            <w:pPr>
              <w:spacing w:line="240" w:lineRule="auto"/>
              <w:rPr>
                <w:rFonts w:ascii="Verdana" w:hAnsi="Verdana"/>
                <w:sz w:val="24"/>
              </w:rPr>
            </w:pPr>
          </w:p>
          <w:p w:rsidR="00F55079" w:rsidRDefault="00F55079" w:rsidP="00F55079">
            <w:pPr>
              <w:spacing w:line="240" w:lineRule="auto"/>
              <w:rPr>
                <w:rFonts w:ascii="Verdana" w:hAnsi="Verdana"/>
                <w:color w:val="4472C4" w:themeColor="accent1"/>
                <w:sz w:val="24"/>
              </w:rPr>
            </w:pPr>
            <w:r>
              <w:rPr>
                <w:rFonts w:ascii="Verdana" w:hAnsi="Verdana"/>
                <w:color w:val="4472C4" w:themeColor="accent1"/>
                <w:sz w:val="24"/>
              </w:rPr>
              <w:t xml:space="preserve">Minimalna odległość pomiędzy budynkiem stanowiącym segment F a pozostałymi budynkami zlokalizowanymi na </w:t>
            </w:r>
            <w:proofErr w:type="spellStart"/>
            <w:r>
              <w:rPr>
                <w:rFonts w:ascii="Verdana" w:hAnsi="Verdana"/>
                <w:color w:val="4472C4" w:themeColor="accent1"/>
                <w:sz w:val="24"/>
              </w:rPr>
              <w:t>w.w</w:t>
            </w:r>
            <w:proofErr w:type="spellEnd"/>
            <w:r>
              <w:rPr>
                <w:rFonts w:ascii="Verdana" w:hAnsi="Verdana"/>
                <w:color w:val="4472C4" w:themeColor="accent1"/>
                <w:sz w:val="24"/>
              </w:rPr>
              <w:t xml:space="preserve"> nieruchomości wynosi ca 30 metrów</w:t>
            </w:r>
          </w:p>
          <w:p w:rsidR="00F55079" w:rsidRDefault="00F55079" w:rsidP="00F55079">
            <w:pPr>
              <w:spacing w:line="240" w:lineRule="auto"/>
              <w:rPr>
                <w:rFonts w:ascii="Verdana" w:hAnsi="Verdana"/>
                <w:sz w:val="24"/>
              </w:rPr>
            </w:pPr>
          </w:p>
          <w:p w:rsidR="00F55079" w:rsidRDefault="00F55079" w:rsidP="00F55079">
            <w:pPr>
              <w:spacing w:line="240" w:lineRule="auto"/>
              <w:rPr>
                <w:rFonts w:ascii="Verdana" w:hAnsi="Verdana"/>
                <w:color w:val="4472C4" w:themeColor="accent1"/>
                <w:sz w:val="24"/>
              </w:rPr>
            </w:pPr>
            <w:r>
              <w:rPr>
                <w:rFonts w:ascii="Verdana" w:hAnsi="Verdana"/>
                <w:color w:val="4472C4" w:themeColor="accent1"/>
                <w:sz w:val="24"/>
              </w:rPr>
              <w:t xml:space="preserve">Plan określający usytuowanie budynków określa </w:t>
            </w:r>
            <w:r>
              <w:rPr>
                <w:rFonts w:ascii="Verdana" w:hAnsi="Verdana"/>
                <w:color w:val="4472C4" w:themeColor="accent1"/>
                <w:sz w:val="24"/>
                <w:u w:val="single"/>
              </w:rPr>
              <w:t>załącznik nr 5</w:t>
            </w:r>
            <w:r>
              <w:rPr>
                <w:rFonts w:ascii="Verdana" w:hAnsi="Verdana"/>
                <w:color w:val="4472C4" w:themeColor="accent1"/>
                <w:sz w:val="24"/>
              </w:rPr>
              <w:t xml:space="preserve"> do niniejszego prospektu. </w:t>
            </w:r>
          </w:p>
          <w:p w:rsidR="001C505B" w:rsidRDefault="001C505B">
            <w:pPr>
              <w:ind w:left="1"/>
            </w:pPr>
          </w:p>
        </w:tc>
      </w:tr>
      <w:tr w:rsidR="001C505B">
        <w:trPr>
          <w:trHeight w:val="1067"/>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rsidR="001C505B" w:rsidRDefault="00E81E84">
            <w:r>
              <w:rPr>
                <w:rFonts w:ascii="Times New Roman" w:eastAsia="Times New Roman" w:hAnsi="Times New Roman" w:cs="Times New Roman"/>
                <w:sz w:val="20"/>
              </w:rPr>
              <w:t xml:space="preserve">Sposób pomiaru powierzchni użytkowej lokalu mieszkalnego albo domu jednorodzinnego </w:t>
            </w:r>
          </w:p>
        </w:tc>
        <w:tc>
          <w:tcPr>
            <w:tcW w:w="3256" w:type="dxa"/>
            <w:tcBorders>
              <w:top w:val="single" w:sz="4" w:space="0" w:color="000000"/>
              <w:left w:val="single" w:sz="4" w:space="0" w:color="000000"/>
              <w:bottom w:val="single" w:sz="4" w:space="0" w:color="000000"/>
              <w:right w:val="nil"/>
            </w:tcBorders>
          </w:tcPr>
          <w:p w:rsidR="001C505B" w:rsidRDefault="00E81E84" w:rsidP="00F55079">
            <w:pPr>
              <w:ind w:left="2"/>
            </w:pPr>
            <w:r>
              <w:rPr>
                <w:rFonts w:ascii="Times New Roman" w:eastAsia="Times New Roman" w:hAnsi="Times New Roman" w:cs="Times New Roman"/>
                <w:sz w:val="20"/>
              </w:rPr>
              <w:t xml:space="preserve"> </w:t>
            </w:r>
            <w:r w:rsidR="00F55079" w:rsidRPr="00F55079">
              <w:rPr>
                <w:rFonts w:ascii="Times New Roman" w:eastAsia="Times New Roman" w:hAnsi="Times New Roman" w:cs="Times New Roman"/>
                <w:color w:val="0070C0"/>
                <w:sz w:val="20"/>
              </w:rPr>
              <w:t xml:space="preserve">Zgodnie z normą </w:t>
            </w:r>
            <w:r w:rsidR="00F55079" w:rsidRPr="00F55079">
              <w:rPr>
                <w:rFonts w:ascii="Times New Roman" w:eastAsia="Times New Roman" w:hAnsi="Times New Roman" w:cs="Times New Roman"/>
                <w:b/>
                <w:bCs/>
                <w:color w:val="0070C0"/>
                <w:sz w:val="20"/>
              </w:rPr>
              <w:t>PN-ISO-9836:1997</w:t>
            </w:r>
          </w:p>
        </w:tc>
        <w:tc>
          <w:tcPr>
            <w:tcW w:w="3418" w:type="dxa"/>
            <w:tcBorders>
              <w:top w:val="single" w:sz="4" w:space="0" w:color="000000"/>
              <w:left w:val="nil"/>
              <w:bottom w:val="single" w:sz="4" w:space="0" w:color="000000"/>
              <w:right w:val="single" w:sz="4" w:space="0" w:color="000000"/>
            </w:tcBorders>
          </w:tcPr>
          <w:p w:rsidR="001C505B" w:rsidRDefault="001C505B"/>
        </w:tc>
      </w:tr>
      <w:tr w:rsidR="001C505B">
        <w:trPr>
          <w:trHeight w:val="1034"/>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rsidR="001C505B" w:rsidRDefault="00E81E84">
            <w:r>
              <w:rPr>
                <w:rFonts w:ascii="Times New Roman" w:eastAsia="Times New Roman" w:hAnsi="Times New Roman" w:cs="Times New Roman"/>
                <w:sz w:val="20"/>
              </w:rPr>
              <w:lastRenderedPageBreak/>
              <w:t xml:space="preserve">Zamierzony sposób i procentowy udział źródeł finansowania przedsięwzięcia deweloperskiego lub zadania inwestycyjnego </w:t>
            </w:r>
          </w:p>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Rodzaj posiadanych środków finansowych – kredyt, środki własne, inne </w:t>
            </w:r>
          </w:p>
        </w:tc>
        <w:tc>
          <w:tcPr>
            <w:tcW w:w="3418" w:type="dxa"/>
            <w:tcBorders>
              <w:top w:val="single" w:sz="4" w:space="0" w:color="000000"/>
              <w:left w:val="single" w:sz="4" w:space="0" w:color="000000"/>
              <w:bottom w:val="single" w:sz="4" w:space="0" w:color="000000"/>
              <w:right w:val="single" w:sz="4" w:space="0" w:color="000000"/>
            </w:tcBorders>
          </w:tcPr>
          <w:p w:rsidR="00921D4F" w:rsidRPr="00921D4F" w:rsidRDefault="00E81E84" w:rsidP="00921D4F">
            <w:pPr>
              <w:ind w:left="1"/>
              <w:rPr>
                <w:rFonts w:ascii="Times New Roman" w:eastAsia="Times New Roman" w:hAnsi="Times New Roman" w:cs="Times New Roman"/>
                <w:color w:val="0070C0"/>
                <w:sz w:val="20"/>
              </w:rPr>
            </w:pPr>
            <w:r>
              <w:rPr>
                <w:rFonts w:ascii="Times New Roman" w:eastAsia="Times New Roman" w:hAnsi="Times New Roman" w:cs="Times New Roman"/>
                <w:sz w:val="20"/>
              </w:rPr>
              <w:t xml:space="preserve"> </w:t>
            </w:r>
            <w:r w:rsidR="00921D4F" w:rsidRPr="00921D4F">
              <w:rPr>
                <w:rFonts w:ascii="Times New Roman" w:eastAsia="Times New Roman" w:hAnsi="Times New Roman" w:cs="Times New Roman"/>
                <w:color w:val="0070C0"/>
                <w:sz w:val="20"/>
              </w:rPr>
              <w:t>Środki własne: 20%</w:t>
            </w:r>
          </w:p>
          <w:p w:rsidR="001C505B" w:rsidRDefault="00921D4F" w:rsidP="00921D4F">
            <w:pPr>
              <w:ind w:left="1"/>
            </w:pPr>
            <w:r w:rsidRPr="00921D4F">
              <w:rPr>
                <w:rFonts w:ascii="Times New Roman" w:eastAsia="Times New Roman" w:hAnsi="Times New Roman" w:cs="Times New Roman"/>
                <w:color w:val="0070C0"/>
                <w:sz w:val="20"/>
              </w:rPr>
              <w:t>Środki pochodzące z wpłat nabywców poszczególnych lokali: 80%</w:t>
            </w:r>
          </w:p>
        </w:tc>
      </w:tr>
      <w:tr w:rsidR="001C505B">
        <w:trPr>
          <w:trHeight w:val="993"/>
        </w:trPr>
        <w:tc>
          <w:tcPr>
            <w:tcW w:w="0" w:type="auto"/>
            <w:vMerge/>
            <w:tcBorders>
              <w:top w:val="nil"/>
              <w:left w:val="single" w:sz="4" w:space="0" w:color="000000"/>
              <w:bottom w:val="single" w:sz="4" w:space="0" w:color="000000"/>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right="689"/>
            </w:pPr>
            <w:r>
              <w:rPr>
                <w:rFonts w:ascii="Times New Roman" w:eastAsia="Times New Roman" w:hAnsi="Times New Roman" w:cs="Times New Roman"/>
                <w:sz w:val="20"/>
              </w:rPr>
              <w:t xml:space="preserve">W następujących instytucjach finansowych (wypełnia się w przypadku kredytu) </w:t>
            </w:r>
          </w:p>
        </w:tc>
        <w:tc>
          <w:tcPr>
            <w:tcW w:w="3418" w:type="dxa"/>
            <w:tcBorders>
              <w:top w:val="single" w:sz="4" w:space="0" w:color="000000"/>
              <w:left w:val="single" w:sz="4" w:space="0" w:color="000000"/>
              <w:bottom w:val="single" w:sz="4" w:space="0" w:color="000000"/>
              <w:right w:val="single" w:sz="4" w:space="0" w:color="000000"/>
            </w:tcBorders>
          </w:tcPr>
          <w:p w:rsidR="001C505B" w:rsidRDefault="00E81E84">
            <w:pPr>
              <w:ind w:left="1"/>
            </w:pPr>
            <w:r>
              <w:rPr>
                <w:rFonts w:ascii="Times New Roman" w:eastAsia="Times New Roman" w:hAnsi="Times New Roman" w:cs="Times New Roman"/>
                <w:sz w:val="20"/>
              </w:rPr>
              <w:t xml:space="preserve"> </w:t>
            </w:r>
            <w:r w:rsidR="00921D4F" w:rsidRPr="00921D4F">
              <w:rPr>
                <w:rFonts w:ascii="Times New Roman" w:eastAsia="Times New Roman" w:hAnsi="Times New Roman" w:cs="Times New Roman"/>
                <w:color w:val="0070C0"/>
                <w:sz w:val="20"/>
              </w:rPr>
              <w:t>Nie dotyczy</w:t>
            </w:r>
          </w:p>
        </w:tc>
      </w:tr>
      <w:tr w:rsidR="001C505B">
        <w:trPr>
          <w:trHeight w:val="1693"/>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rsidR="001C505B" w:rsidRDefault="00E81E84">
            <w:r>
              <w:rPr>
                <w:rFonts w:ascii="Times New Roman" w:eastAsia="Times New Roman" w:hAnsi="Times New Roman" w:cs="Times New Roman"/>
                <w:sz w:val="20"/>
              </w:rPr>
              <w:t xml:space="preserve">Środki ochrony nabywców </w:t>
            </w:r>
          </w:p>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Otwarty mieszkaniowy rachunek powierniczy* </w:t>
            </w:r>
          </w:p>
        </w:tc>
        <w:tc>
          <w:tcPr>
            <w:tcW w:w="3418" w:type="dxa"/>
            <w:tcBorders>
              <w:top w:val="single" w:sz="4" w:space="0" w:color="000000"/>
              <w:left w:val="single" w:sz="4" w:space="0" w:color="000000"/>
              <w:bottom w:val="single" w:sz="4" w:space="0" w:color="000000"/>
              <w:right w:val="single" w:sz="4" w:space="0" w:color="000000"/>
            </w:tcBorders>
          </w:tcPr>
          <w:p w:rsidR="001C505B" w:rsidRPr="00921D4F" w:rsidRDefault="00E81E84">
            <w:pPr>
              <w:ind w:left="1"/>
              <w:rPr>
                <w:strike/>
              </w:rPr>
            </w:pPr>
            <w:r w:rsidRPr="00921D4F">
              <w:rPr>
                <w:rFonts w:ascii="Times New Roman" w:eastAsia="Times New Roman" w:hAnsi="Times New Roman" w:cs="Times New Roman"/>
                <w:strike/>
                <w:sz w:val="20"/>
              </w:rPr>
              <w:t xml:space="preserve">Zamknięty mieszkaniowy rachunek powierniczy* </w:t>
            </w:r>
          </w:p>
        </w:tc>
      </w:tr>
      <w:tr w:rsidR="001C505B">
        <w:trPr>
          <w:trHeight w:val="1147"/>
        </w:trPr>
        <w:tc>
          <w:tcPr>
            <w:tcW w:w="0" w:type="auto"/>
            <w:vMerge/>
            <w:tcBorders>
              <w:top w:val="nil"/>
              <w:left w:val="single" w:sz="4" w:space="0" w:color="000000"/>
              <w:bottom w:val="single" w:sz="4" w:space="0" w:color="000000"/>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Wysokość stawki procentowej, według której jest obliczana kwota składki na Deweloperski Fundusz Gwarancyjny</w:t>
            </w:r>
            <w:r>
              <w:rPr>
                <w:rFonts w:ascii="Times New Roman" w:eastAsia="Times New Roman" w:hAnsi="Times New Roman" w:cs="Times New Roman"/>
                <w:sz w:val="20"/>
                <w:vertAlign w:val="superscript"/>
              </w:rPr>
              <w:t>7)</w:t>
            </w:r>
            <w:r>
              <w:rPr>
                <w:rFonts w:ascii="Times New Roman" w:eastAsia="Times New Roman" w:hAnsi="Times New Roman" w:cs="Times New Roman"/>
                <w:sz w:val="20"/>
              </w:rPr>
              <w:t xml:space="preserve"> </w:t>
            </w:r>
          </w:p>
        </w:tc>
        <w:tc>
          <w:tcPr>
            <w:tcW w:w="3418" w:type="dxa"/>
            <w:tcBorders>
              <w:top w:val="single" w:sz="4" w:space="0" w:color="000000"/>
              <w:left w:val="single" w:sz="4" w:space="0" w:color="000000"/>
              <w:bottom w:val="single" w:sz="4" w:space="0" w:color="000000"/>
              <w:right w:val="single" w:sz="4" w:space="0" w:color="000000"/>
            </w:tcBorders>
          </w:tcPr>
          <w:p w:rsidR="001C505B" w:rsidRDefault="00E81E84">
            <w:pPr>
              <w:ind w:left="1"/>
            </w:pPr>
            <w:r>
              <w:rPr>
                <w:rFonts w:ascii="Times New Roman" w:eastAsia="Times New Roman" w:hAnsi="Times New Roman" w:cs="Times New Roman"/>
                <w:sz w:val="20"/>
              </w:rPr>
              <w:t xml:space="preserve"> </w:t>
            </w:r>
            <w:r w:rsidR="00921D4F" w:rsidRPr="00921D4F">
              <w:rPr>
                <w:rFonts w:ascii="Times New Roman" w:eastAsia="Times New Roman" w:hAnsi="Times New Roman" w:cs="Times New Roman"/>
                <w:color w:val="0070C0"/>
                <w:sz w:val="20"/>
              </w:rPr>
              <w:t>0,45%</w:t>
            </w:r>
          </w:p>
        </w:tc>
      </w:tr>
    </w:tbl>
    <w:p w:rsidR="001C505B" w:rsidRDefault="00E81E84">
      <w:pPr>
        <w:spacing w:after="0"/>
      </w:pPr>
      <w:r>
        <w:rPr>
          <w:rFonts w:ascii="Times New Roman" w:eastAsia="Times New Roman" w:hAnsi="Times New Roman" w:cs="Times New Roman"/>
          <w:strike/>
          <w:sz w:val="20"/>
        </w:rPr>
        <w:t xml:space="preserve">                                                         </w:t>
      </w:r>
      <w:r>
        <w:rPr>
          <w:rFonts w:ascii="Times New Roman" w:eastAsia="Times New Roman" w:hAnsi="Times New Roman" w:cs="Times New Roman"/>
          <w:sz w:val="20"/>
        </w:rPr>
        <w:t xml:space="preserve"> </w:t>
      </w:r>
    </w:p>
    <w:p w:rsidR="001C505B" w:rsidRDefault="00E81E84">
      <w:pPr>
        <w:spacing w:after="0" w:line="262" w:lineRule="auto"/>
        <w:ind w:left="280" w:hanging="280"/>
        <w:jc w:val="both"/>
      </w:pPr>
      <w:r>
        <w:rPr>
          <w:rFonts w:ascii="Times New Roman" w:eastAsia="Times New Roman" w:hAnsi="Times New Roman" w:cs="Times New Roman"/>
          <w:sz w:val="18"/>
          <w:vertAlign w:val="superscript"/>
        </w:rPr>
        <w:t>7)</w:t>
      </w:r>
      <w:r>
        <w:rPr>
          <w:rFonts w:ascii="Times New Roman" w:eastAsia="Times New Roman" w:hAnsi="Times New Roman" w:cs="Times New Roman"/>
          <w:sz w:val="18"/>
        </w:rPr>
        <w:t xml:space="preserve"> Zgodnie z art. 48 ust. 6 ustawy z dnia 20 maja 2021 r. o ochronie praw nabywcy lokalu mieszkalnego lub domu jednorodzinnego oraz Deweloperskim Funduszu Gwarancyjnym (Dz. U. z 2024 r. poz. 695)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48 ust. 8 ustawy z dnia 20 maja 2021 r. o ochronie praw nabywcy lokalu mieszkalnego lub domu jednorodzinnego oraz Deweloperskim Funduszu Gwarancyjnym. </w:t>
      </w:r>
    </w:p>
    <w:p w:rsidR="001C505B" w:rsidRDefault="00E81E84">
      <w:pPr>
        <w:spacing w:after="18"/>
      </w:pPr>
      <w:r>
        <w:rPr>
          <w:rFonts w:ascii="Times New Roman" w:eastAsia="Times New Roman" w:hAnsi="Times New Roman" w:cs="Times New Roman"/>
          <w:sz w:val="18"/>
        </w:rPr>
        <w:t xml:space="preserve"> </w:t>
      </w:r>
    </w:p>
    <w:p w:rsidR="001C505B" w:rsidRDefault="00E81E84">
      <w:pPr>
        <w:spacing w:after="30" w:line="262" w:lineRule="auto"/>
        <w:ind w:left="10" w:hanging="10"/>
        <w:jc w:val="both"/>
      </w:pPr>
      <w:r>
        <w:rPr>
          <w:rFonts w:ascii="Times New Roman" w:eastAsia="Times New Roman" w:hAnsi="Times New Roman" w:cs="Times New Roman"/>
          <w:sz w:val="18"/>
          <w:vertAlign w:val="superscript"/>
        </w:rPr>
        <w:t>*</w:t>
      </w:r>
      <w:r>
        <w:rPr>
          <w:rFonts w:ascii="Times New Roman" w:eastAsia="Times New Roman" w:hAnsi="Times New Roman" w:cs="Times New Roman"/>
          <w:sz w:val="18"/>
        </w:rPr>
        <w:t xml:space="preserve"> Niepotrzebne skreślić. </w:t>
      </w:r>
    </w:p>
    <w:p w:rsidR="001C505B" w:rsidRDefault="001C505B">
      <w:pPr>
        <w:spacing w:after="0"/>
        <w:ind w:left="-1020" w:right="218"/>
      </w:pPr>
    </w:p>
    <w:tbl>
      <w:tblPr>
        <w:tblStyle w:val="TableGrid"/>
        <w:tblW w:w="9644" w:type="dxa"/>
        <w:tblInd w:w="6" w:type="dxa"/>
        <w:tblCellMar>
          <w:top w:w="40" w:type="dxa"/>
          <w:left w:w="107" w:type="dxa"/>
          <w:right w:w="58" w:type="dxa"/>
        </w:tblCellMar>
        <w:tblLook w:val="04A0"/>
      </w:tblPr>
      <w:tblGrid>
        <w:gridCol w:w="2970"/>
        <w:gridCol w:w="6674"/>
      </w:tblGrid>
      <w:tr w:rsidR="001C505B">
        <w:trPr>
          <w:trHeight w:val="986"/>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rsidR="001C505B" w:rsidRDefault="00E81E84">
            <w:pPr>
              <w:ind w:right="6"/>
            </w:pPr>
            <w:r>
              <w:rPr>
                <w:rFonts w:ascii="Times New Roman" w:eastAsia="Times New Roman" w:hAnsi="Times New Roman" w:cs="Times New Roman"/>
                <w:sz w:val="20"/>
              </w:rPr>
              <w:t xml:space="preserve">Główne zasady funkcjonowania wybranego rodzaju zabezpieczenia środków nabywcy </w:t>
            </w:r>
          </w:p>
        </w:tc>
        <w:tc>
          <w:tcPr>
            <w:tcW w:w="6674" w:type="dxa"/>
            <w:tcBorders>
              <w:top w:val="single" w:sz="4" w:space="0" w:color="000000"/>
              <w:left w:val="single" w:sz="4" w:space="0" w:color="000000"/>
              <w:bottom w:val="single" w:sz="4" w:space="0" w:color="000000"/>
              <w:right w:val="single" w:sz="4" w:space="0" w:color="000000"/>
            </w:tcBorders>
          </w:tcPr>
          <w:p w:rsidR="00F55079" w:rsidRPr="00F55079" w:rsidRDefault="00F55079" w:rsidP="00F55079">
            <w:pPr>
              <w:numPr>
                <w:ilvl w:val="0"/>
                <w:numId w:val="15"/>
              </w:numPr>
              <w:rPr>
                <w:rFonts w:ascii="Times New Roman" w:eastAsia="Times New Roman" w:hAnsi="Times New Roman" w:cs="Times New Roman"/>
                <w:color w:val="0070C0"/>
                <w:sz w:val="20"/>
              </w:rPr>
            </w:pPr>
            <w:r w:rsidRPr="00F55079">
              <w:rPr>
                <w:rFonts w:ascii="Times New Roman" w:eastAsia="Times New Roman" w:hAnsi="Times New Roman" w:cs="Times New Roman"/>
                <w:color w:val="0070C0"/>
                <w:sz w:val="20"/>
              </w:rPr>
              <w:t xml:space="preserve">  Dla przedsięwzięcia deweloperskiego Deweloper zawarł z Bankiem Spółdzielczym Jarocin Oddział w Ostrowie Wielkopolskim z siedzibą w Jarocinie umowę o prowadzenie otwartego mieszkaniowego rachunku powierniczego nr …………….. Rachunek prowadzony będzie dla Dewelopera. </w:t>
            </w:r>
          </w:p>
          <w:p w:rsidR="00F55079" w:rsidRPr="00F55079" w:rsidRDefault="00F55079" w:rsidP="00F55079">
            <w:pPr>
              <w:numPr>
                <w:ilvl w:val="0"/>
                <w:numId w:val="15"/>
              </w:numPr>
              <w:rPr>
                <w:rFonts w:ascii="Times New Roman" w:eastAsia="Times New Roman" w:hAnsi="Times New Roman" w:cs="Times New Roman"/>
                <w:color w:val="0070C0"/>
                <w:sz w:val="20"/>
              </w:rPr>
            </w:pPr>
            <w:r w:rsidRPr="00F55079">
              <w:rPr>
                <w:rFonts w:ascii="Times New Roman" w:eastAsia="Times New Roman" w:hAnsi="Times New Roman" w:cs="Times New Roman"/>
                <w:color w:val="0070C0"/>
                <w:sz w:val="20"/>
              </w:rPr>
              <w:t>Na rachunku będą gromadzone wpłaty od Nabywcy zgodnie z postępem realizacji przedsięwzięcia deweloperskiego.</w:t>
            </w:r>
          </w:p>
          <w:p w:rsidR="00F55079" w:rsidRPr="00F55079" w:rsidRDefault="00F55079" w:rsidP="00F55079">
            <w:pPr>
              <w:numPr>
                <w:ilvl w:val="0"/>
                <w:numId w:val="15"/>
              </w:numPr>
              <w:rPr>
                <w:rFonts w:ascii="Times New Roman" w:eastAsia="Times New Roman" w:hAnsi="Times New Roman" w:cs="Times New Roman"/>
                <w:color w:val="0070C0"/>
                <w:sz w:val="20"/>
              </w:rPr>
            </w:pPr>
            <w:r w:rsidRPr="00F55079">
              <w:rPr>
                <w:rFonts w:ascii="Times New Roman" w:eastAsia="Times New Roman" w:hAnsi="Times New Roman" w:cs="Times New Roman"/>
                <w:color w:val="0070C0"/>
                <w:sz w:val="20"/>
              </w:rPr>
              <w:t>Bank prowadzący mieszkaniowy rachunek powierniczy ewidencjonuje wpłaty i wypłaty odrębnie dla każdego nabywcy, a na żądanie nabywcy podaje szczegółowe informacje dotyczące wpłat i wypłat dokonanych w wykonaniu umowy, której stroną jest nabywca występujący z żądaniem udzielenia informacji, takie jak data oraz kwoty wpłat i wypłat.</w:t>
            </w:r>
          </w:p>
          <w:p w:rsidR="00F55079" w:rsidRPr="00F55079" w:rsidRDefault="00F55079" w:rsidP="00F55079">
            <w:pPr>
              <w:numPr>
                <w:ilvl w:val="0"/>
                <w:numId w:val="15"/>
              </w:numPr>
              <w:rPr>
                <w:rFonts w:ascii="Times New Roman" w:eastAsia="Times New Roman" w:hAnsi="Times New Roman" w:cs="Times New Roman"/>
                <w:color w:val="0070C0"/>
                <w:sz w:val="20"/>
              </w:rPr>
            </w:pPr>
            <w:r w:rsidRPr="00F55079">
              <w:rPr>
                <w:rFonts w:ascii="Times New Roman" w:eastAsia="Times New Roman" w:hAnsi="Times New Roman" w:cs="Times New Roman"/>
                <w:color w:val="0070C0"/>
                <w:sz w:val="20"/>
              </w:rPr>
              <w:t>Nabywca dokonuje wpłat na mieszkaniowy rachunek powierniczy zgodnie z postępem realizacji przedsięwzięcia deweloperskiego. Wysokość wpłat dokonywanych przez nabywcę jest uzależniona od faktycznego stopnia realizacji poszczególnych etapów przedsięwzięcia deweloperskiego, określonego w jego harmonogramie. Nabywca dokonuje wpłat na mieszkaniowy rachunek powierniczy</w:t>
            </w:r>
            <w:bookmarkStart w:id="0" w:name="highlightHit_20"/>
            <w:bookmarkEnd w:id="0"/>
            <w:r w:rsidRPr="00F55079">
              <w:rPr>
                <w:rFonts w:ascii="Times New Roman" w:eastAsia="Times New Roman" w:hAnsi="Times New Roman" w:cs="Times New Roman"/>
                <w:color w:val="0070C0"/>
                <w:sz w:val="20"/>
              </w:rPr>
              <w:t xml:space="preserve"> po zakończeniu danego etapu przedsięwzięcia deweloperskiego, określonego w jego harmonogramie. Deweloper informuje nabywcę na papierze lub innym trwałym nośniku o zakończeniu danego etapu przedsięwzięcia deweloperskiego. Wpłaty realizowane będą na rachunek numer: ……………………………………………</w:t>
            </w:r>
          </w:p>
          <w:p w:rsidR="00F55079" w:rsidRPr="00F55079" w:rsidRDefault="00F55079" w:rsidP="00F55079">
            <w:pPr>
              <w:numPr>
                <w:ilvl w:val="0"/>
                <w:numId w:val="15"/>
              </w:numPr>
              <w:rPr>
                <w:rFonts w:ascii="Times New Roman" w:eastAsia="Times New Roman" w:hAnsi="Times New Roman" w:cs="Times New Roman"/>
                <w:color w:val="0070C0"/>
                <w:sz w:val="20"/>
              </w:rPr>
            </w:pPr>
            <w:r w:rsidRPr="00F55079">
              <w:rPr>
                <w:rFonts w:ascii="Times New Roman" w:eastAsia="Times New Roman" w:hAnsi="Times New Roman" w:cs="Times New Roman"/>
                <w:color w:val="0070C0"/>
                <w:sz w:val="20"/>
              </w:rPr>
              <w:t xml:space="preserve">bank wypłaca deweloperowi środki pieniężne wpłacone przez nabywcę na otwarty mieszkaniowy rachunek powierniczy, nie wcześniej niż po 30 dniach od dnia zawarcia umowy deweloperskiej i po stwierdzeniu </w:t>
            </w:r>
            <w:r w:rsidRPr="00F55079">
              <w:rPr>
                <w:rFonts w:ascii="Times New Roman" w:eastAsia="Times New Roman" w:hAnsi="Times New Roman" w:cs="Times New Roman"/>
                <w:color w:val="0070C0"/>
                <w:sz w:val="20"/>
              </w:rPr>
              <w:lastRenderedPageBreak/>
              <w:t>zakończenia danego etapu realizacji przedsięwzięcia deweloperskiego, w wysokości kwoty stanowiącej iloczyn procentu kosztów danego etapu określonego w harmonogramie przedsięwzięcia deweloperskiego oraz:</w:t>
            </w:r>
          </w:p>
          <w:p w:rsidR="00F55079" w:rsidRPr="00F55079" w:rsidRDefault="00F55079" w:rsidP="00F55079">
            <w:pPr>
              <w:ind w:left="2"/>
              <w:rPr>
                <w:rFonts w:ascii="Times New Roman" w:eastAsia="Times New Roman" w:hAnsi="Times New Roman" w:cs="Times New Roman"/>
                <w:color w:val="0070C0"/>
                <w:sz w:val="20"/>
              </w:rPr>
            </w:pPr>
          </w:p>
          <w:p w:rsidR="00F55079" w:rsidRPr="00F55079" w:rsidRDefault="00F55079" w:rsidP="00F55079">
            <w:pPr>
              <w:ind w:left="2"/>
              <w:rPr>
                <w:rFonts w:ascii="Times New Roman" w:eastAsia="Times New Roman" w:hAnsi="Times New Roman" w:cs="Times New Roman"/>
                <w:color w:val="0070C0"/>
                <w:sz w:val="20"/>
              </w:rPr>
            </w:pPr>
            <w:r w:rsidRPr="00F55079">
              <w:rPr>
                <w:rFonts w:ascii="Times New Roman" w:eastAsia="Times New Roman" w:hAnsi="Times New Roman" w:cs="Times New Roman"/>
                <w:color w:val="0070C0"/>
                <w:sz w:val="20"/>
              </w:rPr>
              <w:t xml:space="preserve">-  ceny lokalu mieszkalnego  </w:t>
            </w:r>
            <w:r w:rsidRPr="00F55079">
              <w:rPr>
                <w:rFonts w:ascii="Times New Roman" w:eastAsia="Times New Roman" w:hAnsi="Times New Roman" w:cs="Times New Roman"/>
                <w:i/>
                <w:iCs/>
                <w:color w:val="0070C0"/>
                <w:sz w:val="20"/>
              </w:rPr>
              <w:t>i lokalu użytkowego (garażu)</w:t>
            </w:r>
          </w:p>
          <w:p w:rsidR="00F55079" w:rsidRPr="00F55079" w:rsidRDefault="00F55079" w:rsidP="00F55079">
            <w:pPr>
              <w:ind w:left="2"/>
              <w:rPr>
                <w:rFonts w:ascii="Times New Roman" w:eastAsia="Times New Roman" w:hAnsi="Times New Roman" w:cs="Times New Roman"/>
                <w:color w:val="0070C0"/>
                <w:sz w:val="20"/>
              </w:rPr>
            </w:pPr>
            <w:r w:rsidRPr="00F55079">
              <w:rPr>
                <w:rFonts w:ascii="Times New Roman" w:eastAsia="Times New Roman" w:hAnsi="Times New Roman" w:cs="Times New Roman"/>
                <w:color w:val="0070C0"/>
                <w:sz w:val="20"/>
              </w:rPr>
              <w:t>W przypadku zakończenia ostatniego etapu przedsięwzięcia deweloperskiego, określonego w jego harmonogramie, bank wypłaca deweloperowi pozostałe na otwartym mieszkaniowym rachunku powierniczym środki pieniężne wpłacone przez nabywcę na poczet realizacji ostatniego etapu prac po otrzymaniu wypisu aktu notarialnego umowy przenoszącej na nabywcę prawa wynikające z umowy deweloperskiej, w stanie wolnym od obciążeń, praw i roszczeń osób trzecich, z wyjątkiem obciążeń, na które wyraził zgodę nabywca.</w:t>
            </w:r>
          </w:p>
          <w:p w:rsidR="00F55079" w:rsidRPr="00F55079" w:rsidRDefault="00F55079" w:rsidP="00F55079">
            <w:pPr>
              <w:numPr>
                <w:ilvl w:val="0"/>
                <w:numId w:val="15"/>
              </w:numPr>
              <w:rPr>
                <w:rFonts w:ascii="Times New Roman" w:eastAsia="Times New Roman" w:hAnsi="Times New Roman" w:cs="Times New Roman"/>
                <w:color w:val="0070C0"/>
                <w:sz w:val="20"/>
              </w:rPr>
            </w:pPr>
            <w:bookmarkStart w:id="1" w:name="mip59469157"/>
            <w:bookmarkEnd w:id="1"/>
            <w:r w:rsidRPr="00F55079">
              <w:rPr>
                <w:rFonts w:ascii="Times New Roman" w:eastAsia="Times New Roman" w:hAnsi="Times New Roman" w:cs="Times New Roman"/>
                <w:color w:val="0070C0"/>
                <w:sz w:val="20"/>
              </w:rPr>
              <w:t>W celu realizacji przez Bank wypłaty środków z rachunku Deweloper składa w placówce Banku prowadzącej rachunek dyspozycję wypłaty będącą jednocześnie oświadczeniem o spełnieniu warunków umowy deweloperskiej oraz o niezaleganiu z rozliczeniami z głównym wykonawcą oraz podwykonawcami, na formularzu obowiązującym w Banku.</w:t>
            </w:r>
          </w:p>
          <w:p w:rsidR="00F55079" w:rsidRPr="00F55079" w:rsidRDefault="00F55079" w:rsidP="00F55079">
            <w:pPr>
              <w:numPr>
                <w:ilvl w:val="0"/>
                <w:numId w:val="15"/>
              </w:numPr>
              <w:rPr>
                <w:rFonts w:ascii="Times New Roman" w:eastAsia="Times New Roman" w:hAnsi="Times New Roman" w:cs="Times New Roman"/>
                <w:color w:val="0070C0"/>
                <w:sz w:val="20"/>
              </w:rPr>
            </w:pPr>
            <w:r w:rsidRPr="00F55079">
              <w:rPr>
                <w:rFonts w:ascii="Times New Roman" w:eastAsia="Times New Roman" w:hAnsi="Times New Roman" w:cs="Times New Roman"/>
                <w:color w:val="0070C0"/>
                <w:sz w:val="20"/>
              </w:rPr>
              <w:t xml:space="preserve">Bank dokonuje kontroli zakończenia każdego z etapów przedsięwzięcia deweloperskiego określonego w harmonogramie przedsięwzięcia deweloperskiego, przed dokonaniem wypłaty z otwartego mieszkaniowego rachunku powierniczego na rzecz Dewelopera, na podstawie dokumentacji  związanej z realizacją przedsięwzięcia oraz oceny stanu faktycznego dokonanego przez podmiot zewnętrzny, z którym Bank podpisał umowę o współpracy. Deweloper wyraża zgodę na przeprowadzenie niniejszej kontroli przez podmiot zewnętrzny. </w:t>
            </w:r>
          </w:p>
          <w:p w:rsidR="00F55079" w:rsidRPr="00F55079" w:rsidRDefault="00F55079" w:rsidP="00F55079">
            <w:pPr>
              <w:numPr>
                <w:ilvl w:val="0"/>
                <w:numId w:val="15"/>
              </w:numPr>
              <w:rPr>
                <w:rFonts w:ascii="Times New Roman" w:eastAsia="Times New Roman" w:hAnsi="Times New Roman" w:cs="Times New Roman"/>
                <w:color w:val="0070C0"/>
                <w:sz w:val="20"/>
              </w:rPr>
            </w:pPr>
            <w:r w:rsidRPr="00F55079">
              <w:rPr>
                <w:rFonts w:ascii="Times New Roman" w:eastAsia="Times New Roman" w:hAnsi="Times New Roman" w:cs="Times New Roman"/>
                <w:color w:val="0070C0"/>
                <w:sz w:val="20"/>
              </w:rPr>
              <w:t xml:space="preserve">W zakresie kontroli, o której mowa w ust. 13 pkt g), bank uzyskuje prawo wglądu do rachunków bankowych Dewelopera oraz kontroli dokumentacji. </w:t>
            </w:r>
          </w:p>
          <w:p w:rsidR="00F55079" w:rsidRPr="00F55079" w:rsidRDefault="00F55079" w:rsidP="00F55079">
            <w:pPr>
              <w:numPr>
                <w:ilvl w:val="0"/>
                <w:numId w:val="15"/>
              </w:numPr>
              <w:rPr>
                <w:rFonts w:ascii="Times New Roman" w:eastAsia="Times New Roman" w:hAnsi="Times New Roman" w:cs="Times New Roman"/>
                <w:color w:val="0070C0"/>
                <w:sz w:val="20"/>
              </w:rPr>
            </w:pPr>
            <w:r w:rsidRPr="00F55079">
              <w:rPr>
                <w:rFonts w:ascii="Times New Roman" w:eastAsia="Times New Roman" w:hAnsi="Times New Roman" w:cs="Times New Roman"/>
                <w:color w:val="0070C0"/>
                <w:sz w:val="20"/>
              </w:rPr>
              <w:t>Koszty kontroli, o której mowa w ust. 13 pkt g), ponosi Deweloper.</w:t>
            </w:r>
          </w:p>
          <w:p w:rsidR="00F55079" w:rsidRPr="00F55079" w:rsidRDefault="00F55079" w:rsidP="00F55079">
            <w:pPr>
              <w:numPr>
                <w:ilvl w:val="0"/>
                <w:numId w:val="15"/>
              </w:numPr>
              <w:rPr>
                <w:rFonts w:ascii="Times New Roman" w:eastAsia="Times New Roman" w:hAnsi="Times New Roman" w:cs="Times New Roman"/>
                <w:color w:val="0070C0"/>
                <w:sz w:val="20"/>
              </w:rPr>
            </w:pPr>
            <w:r w:rsidRPr="00F55079">
              <w:rPr>
                <w:rFonts w:ascii="Times New Roman" w:eastAsia="Times New Roman" w:hAnsi="Times New Roman" w:cs="Times New Roman"/>
                <w:color w:val="0070C0"/>
                <w:sz w:val="20"/>
              </w:rPr>
              <w:t xml:space="preserve">Bank prowadzący mieszkaniowy rachunek powierniczy ewidencjonuje wpłaty i wypłaty odrębnie dla każdego nabywcy. Bank prowadzący mieszkaniowy rachunek powierniczy na żądanie nabywcy informuje nabywcę o dokonanych wpłatach i wypłatach.. </w:t>
            </w:r>
          </w:p>
          <w:p w:rsidR="00F55079" w:rsidRDefault="00F55079" w:rsidP="00F55079">
            <w:pPr>
              <w:numPr>
                <w:ilvl w:val="0"/>
                <w:numId w:val="15"/>
              </w:numPr>
              <w:rPr>
                <w:rFonts w:ascii="Times New Roman" w:eastAsia="Times New Roman" w:hAnsi="Times New Roman" w:cs="Times New Roman"/>
                <w:color w:val="0070C0"/>
                <w:sz w:val="20"/>
              </w:rPr>
            </w:pPr>
            <w:r w:rsidRPr="00F55079">
              <w:rPr>
                <w:rFonts w:ascii="Times New Roman" w:eastAsia="Times New Roman" w:hAnsi="Times New Roman" w:cs="Times New Roman"/>
                <w:color w:val="0070C0"/>
                <w:sz w:val="20"/>
              </w:rPr>
              <w:t xml:space="preserve">Prawo wypowiedzenia umowy, przysługuje wyłącznie bankowi i tylko z ważnych powodów. Termin wypowiedzenia umowy mieszkaniowego rachunku powierniczego wynosi 60 dni, z zastrzeżeniem że termin ten ulega skróceniu, w przypadku gdy przed jego upływem deweloper zawrze umowę mieszkaniowego rachunku powierniczego z innym bankiem lub spółdzielczą kasą oszczędnościowo – kredytową. </w:t>
            </w:r>
            <w:bookmarkStart w:id="2" w:name="mip59469135"/>
            <w:bookmarkEnd w:id="2"/>
            <w:r w:rsidRPr="00F55079">
              <w:rPr>
                <w:rFonts w:ascii="Times New Roman" w:eastAsia="Times New Roman" w:hAnsi="Times New Roman" w:cs="Times New Roman"/>
                <w:color w:val="0070C0"/>
                <w:sz w:val="20"/>
              </w:rPr>
              <w:t>Bank informuje nabywcę na papierze lub innym trwałym nośniku o terminie, w którym wypowiedział umowę mieszkaniowego rachunku powierniczego, w terminie 10 dni od dnia jej wypowiedzenia. W przypadku wypowiedzenia umowy mieszkaniowego rachunku powierniczego deweloper niezwłocznie zawiera z innym bankiem lub spółdzielczą kasą oszczędnościowo – kredytową umowę mieszkaniowego rachunku powierniczego, jednak nie później niż w terminie 60 dni od dnia wypowiedzenia tej umowy przez bank, z zastrzeżeniem że przedmiotem zawieranej umowy jest prowadzenie takiego samego rodzaju mieszkaniowego rachunku powierniczego, jak w przypadku umowy, która została wypowiedziana.</w:t>
            </w:r>
          </w:p>
          <w:p w:rsidR="00F55079" w:rsidRPr="00F55079" w:rsidRDefault="00F55079" w:rsidP="00F55079">
            <w:pPr>
              <w:ind w:left="720"/>
              <w:rPr>
                <w:rFonts w:ascii="Times New Roman" w:eastAsia="Times New Roman" w:hAnsi="Times New Roman" w:cs="Times New Roman"/>
                <w:color w:val="0070C0"/>
                <w:sz w:val="20"/>
              </w:rPr>
            </w:pPr>
          </w:p>
          <w:p w:rsidR="00F55079" w:rsidRPr="00F55079" w:rsidRDefault="00F55079" w:rsidP="00F55079">
            <w:pPr>
              <w:ind w:left="741"/>
              <w:rPr>
                <w:rFonts w:ascii="Times New Roman" w:eastAsia="Times New Roman" w:hAnsi="Times New Roman" w:cs="Times New Roman"/>
                <w:color w:val="0070C0"/>
                <w:sz w:val="20"/>
              </w:rPr>
            </w:pPr>
            <w:bookmarkStart w:id="3" w:name="mip59469138"/>
            <w:bookmarkEnd w:id="3"/>
            <w:r w:rsidRPr="00F55079">
              <w:rPr>
                <w:rFonts w:ascii="Times New Roman" w:eastAsia="Times New Roman" w:hAnsi="Times New Roman" w:cs="Times New Roman"/>
                <w:color w:val="0070C0"/>
                <w:sz w:val="20"/>
              </w:rPr>
              <w:t xml:space="preserve">Środki zgromadzone na likwidowanym mieszkaniowym rachunku powierniczym są niezwłocznie przekazywane przez bank, w którym dotychczas prowadzono taki rachunek, na mieszkaniowy rachunek powierniczy otwarty przez dewelopera w innym banku lub </w:t>
            </w:r>
            <w:r w:rsidRPr="00F55079">
              <w:rPr>
                <w:rFonts w:ascii="Times New Roman" w:eastAsia="Times New Roman" w:hAnsi="Times New Roman" w:cs="Times New Roman"/>
                <w:color w:val="0070C0"/>
                <w:sz w:val="20"/>
              </w:rPr>
              <w:lastRenderedPageBreak/>
              <w:t>spółdzielczej kasie oszczędnościowo – kredytowej, po przedstawieniu przez dewelopera oświadczenia z tego banku lub spółdzielczą kasy oszczędnościowo – kredytowej potwierdzającego, że rachunek, na który mają być przekazane środki, jest mieszkaniowym rachunkiem powierniczym w rozumieniu ustawy.</w:t>
            </w:r>
          </w:p>
          <w:p w:rsidR="00F55079" w:rsidRPr="00F55079" w:rsidRDefault="00F55079" w:rsidP="00F55079">
            <w:pPr>
              <w:ind w:left="741"/>
              <w:rPr>
                <w:rFonts w:ascii="Times New Roman" w:eastAsia="Times New Roman" w:hAnsi="Times New Roman" w:cs="Times New Roman"/>
                <w:color w:val="0070C0"/>
                <w:sz w:val="20"/>
              </w:rPr>
            </w:pPr>
            <w:bookmarkStart w:id="4" w:name="mip59469139"/>
            <w:bookmarkEnd w:id="4"/>
            <w:r w:rsidRPr="00F55079">
              <w:rPr>
                <w:rFonts w:ascii="Times New Roman" w:eastAsia="Times New Roman" w:hAnsi="Times New Roman" w:cs="Times New Roman"/>
                <w:color w:val="0070C0"/>
                <w:sz w:val="20"/>
              </w:rPr>
              <w:t>W przypadku gdy deweloper nie przedstawi oświadczenia banku lub spółdzielczej kasy oszczędnościowo – kredytowej, o którym mowa w art. 10 ust. 2 ustawy, w terminie 60 dni od dnia wypowiedzenia umowy mieszkaniowego rachunku powierniczego, bank niezwłocznie zwraca nabywcom środki znajdujące się na tym rachunku.</w:t>
            </w:r>
          </w:p>
          <w:p w:rsidR="00F55079" w:rsidRPr="00F55079" w:rsidRDefault="00F55079" w:rsidP="00F55079">
            <w:pPr>
              <w:ind w:left="741"/>
              <w:rPr>
                <w:rFonts w:ascii="Times New Roman" w:eastAsia="Times New Roman" w:hAnsi="Times New Roman" w:cs="Times New Roman"/>
                <w:color w:val="0070C0"/>
                <w:sz w:val="20"/>
              </w:rPr>
            </w:pPr>
            <w:bookmarkStart w:id="5" w:name="mip59469140"/>
            <w:bookmarkEnd w:id="5"/>
            <w:r w:rsidRPr="00F55079">
              <w:rPr>
                <w:rFonts w:ascii="Times New Roman" w:eastAsia="Times New Roman" w:hAnsi="Times New Roman" w:cs="Times New Roman"/>
                <w:color w:val="0070C0"/>
                <w:sz w:val="20"/>
              </w:rPr>
              <w:t>W czasie obowiązywania umowy, o której mowa w </w:t>
            </w:r>
            <w:hyperlink r:id="rId11" w:history="1">
              <w:r w:rsidRPr="00F55079">
                <w:rPr>
                  <w:rStyle w:val="Hipercze"/>
                  <w:rFonts w:ascii="Times New Roman" w:eastAsia="Times New Roman" w:hAnsi="Times New Roman" w:cs="Times New Roman"/>
                  <w:color w:val="0070C0"/>
                  <w:sz w:val="20"/>
                </w:rPr>
                <w:t>art. 7 ust. 1</w:t>
              </w:r>
            </w:hyperlink>
            <w:r w:rsidRPr="00F55079">
              <w:rPr>
                <w:rFonts w:ascii="Times New Roman" w:eastAsia="Times New Roman" w:hAnsi="Times New Roman" w:cs="Times New Roman"/>
                <w:color w:val="0070C0"/>
                <w:sz w:val="20"/>
              </w:rPr>
              <w:t xml:space="preserve"> ustawy, oraz w terminie, o którym mowa w art. 10 ust. 3 ustawy, umowa o prowadzenie mieszkaniowego rachunku powierniczego nie może ulec zmianie bez zgody nabywcy, z wyjątkiem wysokości oprocentowania środków pieniężnych gromadzonych na tym rachunku, z tym że sposób ustalania wysokości oprocentowania jest określony w tej umowie.</w:t>
            </w:r>
          </w:p>
          <w:p w:rsidR="00F55079" w:rsidRPr="00F55079" w:rsidRDefault="00F55079" w:rsidP="00F55079">
            <w:pPr>
              <w:numPr>
                <w:ilvl w:val="0"/>
                <w:numId w:val="15"/>
              </w:numPr>
              <w:rPr>
                <w:rFonts w:ascii="Times New Roman" w:eastAsia="Times New Roman" w:hAnsi="Times New Roman" w:cs="Times New Roman"/>
                <w:color w:val="0070C0"/>
                <w:sz w:val="20"/>
              </w:rPr>
            </w:pPr>
            <w:r w:rsidRPr="00F55079">
              <w:rPr>
                <w:rFonts w:ascii="Times New Roman" w:eastAsia="Times New Roman" w:hAnsi="Times New Roman" w:cs="Times New Roman"/>
                <w:color w:val="0070C0"/>
                <w:sz w:val="20"/>
              </w:rPr>
              <w:t>Deweloper, w terminie 10 dni od dnia zawarcia umowy mieszkaniowego rachunku powierniczego w trybie, o którym mowa w </w:t>
            </w:r>
            <w:hyperlink r:id="rId12" w:history="1">
              <w:r w:rsidRPr="00F55079">
                <w:rPr>
                  <w:rStyle w:val="Hipercze"/>
                  <w:rFonts w:ascii="Times New Roman" w:eastAsia="Times New Roman" w:hAnsi="Times New Roman" w:cs="Times New Roman"/>
                  <w:color w:val="0070C0"/>
                  <w:sz w:val="20"/>
                </w:rPr>
                <w:t>art. 10 ust. 1</w:t>
              </w:r>
            </w:hyperlink>
            <w:r w:rsidRPr="00F55079">
              <w:rPr>
                <w:rFonts w:ascii="Times New Roman" w:eastAsia="Times New Roman" w:hAnsi="Times New Roman" w:cs="Times New Roman"/>
                <w:color w:val="0070C0"/>
                <w:sz w:val="20"/>
              </w:rPr>
              <w:t xml:space="preserve"> ustawy, informuje nabywcę na papierze lub innym trwałym nośniku o dokonanej zmianie.</w:t>
            </w:r>
          </w:p>
          <w:p w:rsidR="00F55079" w:rsidRPr="00F55079" w:rsidRDefault="00F55079" w:rsidP="00F55079">
            <w:pPr>
              <w:ind w:left="741"/>
              <w:rPr>
                <w:rFonts w:ascii="Times New Roman" w:eastAsia="Times New Roman" w:hAnsi="Times New Roman" w:cs="Times New Roman"/>
                <w:color w:val="0070C0"/>
                <w:sz w:val="20"/>
              </w:rPr>
            </w:pPr>
            <w:bookmarkStart w:id="6" w:name="mip59469143"/>
            <w:bookmarkEnd w:id="6"/>
            <w:r w:rsidRPr="00F55079">
              <w:rPr>
                <w:rFonts w:ascii="Times New Roman" w:eastAsia="Times New Roman" w:hAnsi="Times New Roman" w:cs="Times New Roman"/>
                <w:color w:val="0070C0"/>
                <w:sz w:val="20"/>
              </w:rPr>
              <w:t>Nabywca może wstrzymać dokonywanie kolejnych wpłat na mieszkaniowy rachunek powierniczy do czasu wykonania przez dewelopera powyższego obowiązku.</w:t>
            </w:r>
          </w:p>
          <w:p w:rsidR="00F55079" w:rsidRPr="00F55079" w:rsidRDefault="00F55079" w:rsidP="00F55079">
            <w:pPr>
              <w:numPr>
                <w:ilvl w:val="0"/>
                <w:numId w:val="15"/>
              </w:numPr>
              <w:rPr>
                <w:rFonts w:ascii="Times New Roman" w:eastAsia="Times New Roman" w:hAnsi="Times New Roman" w:cs="Times New Roman"/>
                <w:color w:val="0070C0"/>
                <w:sz w:val="20"/>
              </w:rPr>
            </w:pPr>
            <w:r w:rsidRPr="00F55079">
              <w:rPr>
                <w:rFonts w:ascii="Times New Roman" w:eastAsia="Times New Roman" w:hAnsi="Times New Roman" w:cs="Times New Roman"/>
                <w:color w:val="0070C0"/>
                <w:sz w:val="20"/>
              </w:rPr>
              <w:t xml:space="preserve">Deweloper dysponuje środkami wypłacanymi z otwartego mieszkaniowego rachunku powierniczego, wyłącznie w celu finansowania lub refinansowania przedsięwzięcia deweloperskiego, dla którego prowadzony jest ten rachunek. </w:t>
            </w:r>
          </w:p>
          <w:p w:rsidR="00F55079" w:rsidRPr="00F55079" w:rsidRDefault="00F55079" w:rsidP="00F55079">
            <w:pPr>
              <w:numPr>
                <w:ilvl w:val="0"/>
                <w:numId w:val="15"/>
              </w:numPr>
              <w:rPr>
                <w:rFonts w:ascii="Times New Roman" w:eastAsia="Times New Roman" w:hAnsi="Times New Roman" w:cs="Times New Roman"/>
                <w:color w:val="0070C0"/>
                <w:sz w:val="20"/>
              </w:rPr>
            </w:pPr>
            <w:r w:rsidRPr="00F55079">
              <w:rPr>
                <w:rFonts w:ascii="Times New Roman" w:eastAsia="Times New Roman" w:hAnsi="Times New Roman" w:cs="Times New Roman"/>
                <w:color w:val="0070C0"/>
                <w:sz w:val="20"/>
              </w:rPr>
              <w:t>Koszty, opłaty i prowizje za prowadzenie otwartego mieszkaniowego rachunku powierniczego obciążają Dewelopera.</w:t>
            </w:r>
            <w:bookmarkStart w:id="7" w:name="mip59469150"/>
            <w:bookmarkEnd w:id="7"/>
            <w:r w:rsidRPr="00F55079">
              <w:rPr>
                <w:rFonts w:ascii="Times New Roman" w:eastAsia="Times New Roman" w:hAnsi="Times New Roman" w:cs="Times New Roman"/>
                <w:color w:val="0070C0"/>
                <w:sz w:val="20"/>
              </w:rPr>
              <w:t xml:space="preserve"> Środki pieniężne wpłacone przez nabywcę na mieszkaniowy rachunek powierniczy nie mogą być pomniejszone o koszty, opłaty i prowizje, o których mowa powyżej.</w:t>
            </w:r>
          </w:p>
          <w:p w:rsidR="00F55079" w:rsidRPr="00F55079" w:rsidRDefault="00F55079" w:rsidP="00F55079">
            <w:pPr>
              <w:numPr>
                <w:ilvl w:val="0"/>
                <w:numId w:val="15"/>
              </w:numPr>
              <w:rPr>
                <w:rFonts w:ascii="Times New Roman" w:eastAsia="Times New Roman" w:hAnsi="Times New Roman" w:cs="Times New Roman"/>
                <w:color w:val="0070C0"/>
                <w:sz w:val="20"/>
              </w:rPr>
            </w:pPr>
            <w:r w:rsidRPr="00F55079">
              <w:rPr>
                <w:rFonts w:ascii="Times New Roman" w:eastAsia="Times New Roman" w:hAnsi="Times New Roman" w:cs="Times New Roman"/>
                <w:color w:val="0070C0"/>
                <w:sz w:val="20"/>
              </w:rPr>
              <w:t>W przypadku odstąpienia na podstawie </w:t>
            </w:r>
            <w:hyperlink r:id="rId13" w:history="1">
              <w:r w:rsidRPr="00F55079">
                <w:rPr>
                  <w:rStyle w:val="Hipercze"/>
                  <w:rFonts w:ascii="Times New Roman" w:eastAsia="Times New Roman" w:hAnsi="Times New Roman" w:cs="Times New Roman"/>
                  <w:color w:val="0070C0"/>
                  <w:sz w:val="20"/>
                </w:rPr>
                <w:t>art. 43</w:t>
              </w:r>
            </w:hyperlink>
            <w:r w:rsidRPr="00F55079">
              <w:rPr>
                <w:rFonts w:ascii="Times New Roman" w:eastAsia="Times New Roman" w:hAnsi="Times New Roman" w:cs="Times New Roman"/>
                <w:color w:val="0070C0"/>
                <w:sz w:val="20"/>
              </w:rPr>
              <w:t xml:space="preserve"> ustawy od umowy deweloperskiej, przez jedną ze stron, bank wypłaca nabywcy przypadające mu środki pieniężne pozostałe na mieszkaniowym rachunku powierniczym w nominalnej wysokości niezwłocznie po otrzymaniu oświadczenia o odstąpieniu od umowy oraz dokumentów wymienionych w umowie o prowadzenie otwartego mieszkaniowego rachunku powierniczego</w:t>
            </w:r>
          </w:p>
          <w:p w:rsidR="00F55079" w:rsidRPr="00F55079" w:rsidRDefault="00F55079" w:rsidP="00F55079">
            <w:pPr>
              <w:ind w:left="741"/>
              <w:rPr>
                <w:rFonts w:ascii="Times New Roman" w:eastAsia="Times New Roman" w:hAnsi="Times New Roman" w:cs="Times New Roman"/>
                <w:color w:val="0070C0"/>
                <w:sz w:val="20"/>
              </w:rPr>
            </w:pPr>
            <w:r w:rsidRPr="00F55079">
              <w:rPr>
                <w:rFonts w:ascii="Times New Roman" w:eastAsia="Times New Roman" w:hAnsi="Times New Roman" w:cs="Times New Roman"/>
                <w:color w:val="0070C0"/>
                <w:sz w:val="20"/>
              </w:rPr>
              <w:t>W przypadku rozwiązania umowy deweloperskiej innego niż na podstawie </w:t>
            </w:r>
            <w:hyperlink r:id="rId14" w:history="1">
              <w:r w:rsidRPr="00F55079">
                <w:rPr>
                  <w:rStyle w:val="Hipercze"/>
                  <w:rFonts w:ascii="Times New Roman" w:eastAsia="Times New Roman" w:hAnsi="Times New Roman" w:cs="Times New Roman"/>
                  <w:color w:val="0070C0"/>
                  <w:sz w:val="20"/>
                </w:rPr>
                <w:t>art. 43</w:t>
              </w:r>
            </w:hyperlink>
            <w:r w:rsidRPr="00F55079">
              <w:rPr>
                <w:rFonts w:ascii="Times New Roman" w:eastAsia="Times New Roman" w:hAnsi="Times New Roman" w:cs="Times New Roman"/>
                <w:color w:val="0070C0"/>
                <w:sz w:val="20"/>
              </w:rPr>
              <w:t xml:space="preserve"> ustawy, strony przedstawią zgodne oświadczenia woli o sposobie podziału środków pieniężnych zgromadzonych przez nabywcę na mieszkaniowym rachunku powierniczym. </w:t>
            </w:r>
            <w:bookmarkStart w:id="8" w:name="mip59469190"/>
            <w:bookmarkEnd w:id="8"/>
            <w:r w:rsidRPr="00F55079">
              <w:rPr>
                <w:rFonts w:ascii="Times New Roman" w:eastAsia="Times New Roman" w:hAnsi="Times New Roman" w:cs="Times New Roman"/>
                <w:color w:val="0070C0"/>
                <w:sz w:val="20"/>
              </w:rPr>
              <w:t>Bank wypłaca środki zgromadzone na mieszkaniowym rachunku powierniczym w nominalnej wysokości niezwłocznie po otrzymaniu oświadczeń, o których mowa powyżej oraz dokumentów wymienionych w umowie o prowadzenie otwartego mieszkaniowego rachunku powierniczego</w:t>
            </w:r>
            <w:r>
              <w:rPr>
                <w:rFonts w:ascii="Times New Roman" w:eastAsia="Times New Roman" w:hAnsi="Times New Roman" w:cs="Times New Roman"/>
                <w:color w:val="0070C0"/>
                <w:sz w:val="20"/>
              </w:rPr>
              <w:t xml:space="preserve"> </w:t>
            </w:r>
            <w:r w:rsidRPr="00F55079">
              <w:rPr>
                <w:rFonts w:ascii="Times New Roman" w:eastAsia="Times New Roman" w:hAnsi="Times New Roman" w:cs="Times New Roman"/>
                <w:color w:val="0070C0"/>
                <w:sz w:val="20"/>
              </w:rPr>
              <w:t>stosownie do przepis</w:t>
            </w:r>
            <w:r w:rsidRPr="00F55079">
              <w:rPr>
                <w:rFonts w:ascii="Times New Roman" w:eastAsia="Times New Roman" w:hAnsi="Times New Roman" w:cs="Times New Roman"/>
                <w:color w:val="0070C0"/>
                <w:sz w:val="20"/>
                <w:lang w:val="es-ES_tradnl"/>
              </w:rPr>
              <w:t>ó</w:t>
            </w:r>
            <w:r w:rsidRPr="00F55079">
              <w:rPr>
                <w:rFonts w:ascii="Times New Roman" w:eastAsia="Times New Roman" w:hAnsi="Times New Roman" w:cs="Times New Roman"/>
                <w:color w:val="0070C0"/>
                <w:sz w:val="20"/>
              </w:rPr>
              <w:t>w art. 59 ustawy prawo bankowe: w razie wszczęcia postępowania egzekucyjnego przeciwko posiadaczowi rachunku środki znajdujące się na rachunku powierniczym nie podlegają zajęciu. Ponadto w razie ogłoszenia upadłości posiadacza rachunku środki pieniężne znajdujące się na rachunku powierniczym podlegają wyłączeniu z masy upadłości</w:t>
            </w:r>
          </w:p>
          <w:p w:rsidR="00F55079" w:rsidRPr="00F55079" w:rsidRDefault="00F55079" w:rsidP="00F55079">
            <w:pPr>
              <w:ind w:left="2"/>
              <w:rPr>
                <w:rFonts w:ascii="Times New Roman" w:eastAsia="Times New Roman" w:hAnsi="Times New Roman" w:cs="Times New Roman"/>
                <w:sz w:val="20"/>
              </w:rPr>
            </w:pPr>
          </w:p>
          <w:p w:rsidR="001C505B" w:rsidRDefault="001C505B">
            <w:pPr>
              <w:ind w:left="2"/>
            </w:pPr>
          </w:p>
        </w:tc>
      </w:tr>
      <w:tr w:rsidR="001C505B">
        <w:trPr>
          <w:trHeight w:val="987"/>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rsidR="001C505B" w:rsidRDefault="00E81E84">
            <w:pPr>
              <w:ind w:right="28"/>
            </w:pPr>
            <w:r>
              <w:rPr>
                <w:rFonts w:ascii="Times New Roman" w:eastAsia="Times New Roman" w:hAnsi="Times New Roman" w:cs="Times New Roman"/>
                <w:sz w:val="20"/>
              </w:rPr>
              <w:lastRenderedPageBreak/>
              <w:t xml:space="preserve">Nazwa instytucji zapewniającej bezpieczeństwo środków nabywcy </w:t>
            </w:r>
          </w:p>
        </w:tc>
        <w:tc>
          <w:tcPr>
            <w:tcW w:w="6674" w:type="dxa"/>
            <w:tcBorders>
              <w:top w:val="single" w:sz="4" w:space="0" w:color="000000"/>
              <w:left w:val="single" w:sz="4" w:space="0" w:color="000000"/>
              <w:bottom w:val="single" w:sz="4" w:space="0" w:color="000000"/>
              <w:right w:val="single" w:sz="4" w:space="0" w:color="000000"/>
            </w:tcBorders>
          </w:tcPr>
          <w:p w:rsidR="001C505B" w:rsidRPr="00F55079" w:rsidRDefault="00E81E84">
            <w:pPr>
              <w:ind w:left="2"/>
            </w:pPr>
            <w:r>
              <w:rPr>
                <w:rFonts w:ascii="Times New Roman" w:eastAsia="Times New Roman" w:hAnsi="Times New Roman" w:cs="Times New Roman"/>
                <w:sz w:val="20"/>
              </w:rPr>
              <w:t xml:space="preserve"> </w:t>
            </w:r>
            <w:r w:rsidR="00F55079" w:rsidRPr="00F55079">
              <w:rPr>
                <w:rFonts w:ascii="Times New Roman" w:eastAsia="Times New Roman" w:hAnsi="Times New Roman" w:cs="Times New Roman"/>
                <w:color w:val="0070C0"/>
                <w:sz w:val="20"/>
              </w:rPr>
              <w:t>Bank Spółdzielczy w Jarocinie Oddział w Ostrowie Wielkopolskim</w:t>
            </w:r>
          </w:p>
        </w:tc>
      </w:tr>
      <w:tr w:rsidR="001C505B">
        <w:trPr>
          <w:trHeight w:val="988"/>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rsidR="001C505B" w:rsidRDefault="00E81E84">
            <w:r>
              <w:rPr>
                <w:rFonts w:ascii="Times New Roman" w:eastAsia="Times New Roman" w:hAnsi="Times New Roman" w:cs="Times New Roman"/>
                <w:sz w:val="20"/>
              </w:rPr>
              <w:t xml:space="preserve">Harmonogram przedsięwzięcia deweloperskiego lub zadania inwestycyjnego </w:t>
            </w:r>
          </w:p>
        </w:tc>
        <w:tc>
          <w:tcPr>
            <w:tcW w:w="6674" w:type="dxa"/>
            <w:tcBorders>
              <w:top w:val="single" w:sz="4" w:space="0" w:color="000000"/>
              <w:left w:val="single" w:sz="4" w:space="0" w:color="000000"/>
              <w:bottom w:val="single" w:sz="4" w:space="0" w:color="000000"/>
              <w:right w:val="single" w:sz="4" w:space="0" w:color="000000"/>
            </w:tcBorders>
          </w:tcPr>
          <w:p w:rsidR="00F55079" w:rsidRDefault="00E81E84">
            <w:pPr>
              <w:ind w:left="2"/>
            </w:pPr>
            <w:r>
              <w:rPr>
                <w:rFonts w:ascii="Times New Roman" w:eastAsia="Times New Roman" w:hAnsi="Times New Roman" w:cs="Times New Roman"/>
                <w:sz w:val="20"/>
              </w:rPr>
              <w:t xml:space="preserve"> </w:t>
            </w:r>
          </w:p>
          <w:p w:rsidR="00F55079" w:rsidRDefault="00F55079" w:rsidP="00F55079">
            <w:pPr>
              <w:pStyle w:val="Akapitzlist"/>
              <w:numPr>
                <w:ilvl w:val="0"/>
                <w:numId w:val="16"/>
              </w:numPr>
              <w:spacing w:after="200" w:line="276" w:lineRule="auto"/>
              <w:contextualSpacing w:val="0"/>
              <w:rPr>
                <w:rFonts w:ascii="Arial" w:hAnsi="Arial" w:cs="Arial"/>
                <w:b/>
                <w:bCs/>
                <w:color w:val="4472C4" w:themeColor="accent1"/>
              </w:rPr>
            </w:pPr>
            <w:r>
              <w:rPr>
                <w:rFonts w:ascii="Arial" w:hAnsi="Arial" w:cs="Arial"/>
                <w:b/>
                <w:bCs/>
                <w:color w:val="4472C4" w:themeColor="accent1"/>
              </w:rPr>
              <w:t>Etap 1 od 01-05-2025 do 01-10-2025 – 20 % kosztów inwestycji</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xml:space="preserve">- wniesienie nieruchomości, </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wykonanie projektu budowlanego,</w:t>
            </w:r>
          </w:p>
          <w:p w:rsidR="00F55079" w:rsidRDefault="00F55079" w:rsidP="00F55079">
            <w:pPr>
              <w:pStyle w:val="Akapitzlist"/>
              <w:numPr>
                <w:ilvl w:val="0"/>
                <w:numId w:val="16"/>
              </w:numPr>
              <w:spacing w:after="200" w:line="276" w:lineRule="auto"/>
              <w:contextualSpacing w:val="0"/>
              <w:rPr>
                <w:rFonts w:ascii="Arial" w:hAnsi="Arial" w:cs="Arial"/>
                <w:b/>
                <w:bCs/>
                <w:color w:val="4472C4" w:themeColor="accent1"/>
              </w:rPr>
            </w:pPr>
            <w:r>
              <w:rPr>
                <w:rFonts w:ascii="Arial" w:hAnsi="Arial" w:cs="Arial"/>
                <w:b/>
                <w:bCs/>
                <w:color w:val="4472C4" w:themeColor="accent1"/>
              </w:rPr>
              <w:t xml:space="preserve">Etap 2 od 02-10-2025 do 31-12-2025 – 10 % </w:t>
            </w:r>
            <w:bookmarkStart w:id="9" w:name="_Hlk50626058"/>
            <w:r>
              <w:rPr>
                <w:rFonts w:ascii="Arial" w:hAnsi="Arial" w:cs="Arial"/>
                <w:b/>
                <w:bCs/>
                <w:color w:val="4472C4" w:themeColor="accent1"/>
              </w:rPr>
              <w:t>kosztów</w:t>
            </w:r>
            <w:bookmarkEnd w:id="9"/>
            <w:r>
              <w:rPr>
                <w:rFonts w:ascii="Arial" w:hAnsi="Arial" w:cs="Arial"/>
                <w:b/>
                <w:bCs/>
                <w:color w:val="4472C4" w:themeColor="accent1"/>
              </w:rPr>
              <w:t xml:space="preserve"> inwestycji </w:t>
            </w:r>
          </w:p>
          <w:p w:rsidR="00F55079" w:rsidRDefault="00F55079" w:rsidP="00F55079">
            <w:pPr>
              <w:pStyle w:val="Akapitzlist"/>
              <w:ind w:left="1068" w:hanging="580"/>
              <w:rPr>
                <w:rFonts w:ascii="Arial" w:hAnsi="Arial" w:cs="Arial"/>
                <w:color w:val="4472C4" w:themeColor="accent1"/>
                <w:lang w:val="en-US"/>
              </w:rPr>
            </w:pPr>
            <w:r>
              <w:rPr>
                <w:rFonts w:ascii="Arial" w:hAnsi="Arial" w:cs="Arial"/>
                <w:color w:val="4472C4" w:themeColor="accent1"/>
              </w:rPr>
              <w:t>- wykopy</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fundamenty</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ściany przyziemia</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strop nad przyziemiem 40%</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schody 34%</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podłoża i warstwy posadzkowe 18%</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rusztowania – 22%</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instalacja uziemiająca i wyrównawcza</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kanalizacja sanitarna wewnętrzna – 45%</w:t>
            </w:r>
          </w:p>
          <w:p w:rsidR="00F55079" w:rsidRDefault="00F55079" w:rsidP="00F55079">
            <w:pPr>
              <w:pStyle w:val="Akapitzlist"/>
              <w:numPr>
                <w:ilvl w:val="0"/>
                <w:numId w:val="16"/>
              </w:numPr>
              <w:spacing w:after="200" w:line="276" w:lineRule="auto"/>
              <w:contextualSpacing w:val="0"/>
              <w:rPr>
                <w:rFonts w:ascii="Arial" w:hAnsi="Arial" w:cs="Arial"/>
                <w:b/>
                <w:bCs/>
                <w:color w:val="4472C4" w:themeColor="accent1"/>
              </w:rPr>
            </w:pPr>
            <w:r>
              <w:rPr>
                <w:rFonts w:ascii="Arial" w:hAnsi="Arial" w:cs="Arial"/>
                <w:b/>
                <w:bCs/>
                <w:color w:val="4472C4" w:themeColor="accent1"/>
              </w:rPr>
              <w:t xml:space="preserve">Etap 3 od 01-01-2026 do 28-02-2026 - 10% kosztów inwestycji </w:t>
            </w:r>
          </w:p>
          <w:p w:rsidR="00F55079" w:rsidRDefault="00F55079" w:rsidP="00F55079">
            <w:pPr>
              <w:pStyle w:val="Akapitzlist"/>
              <w:ind w:left="1068" w:hanging="580"/>
              <w:rPr>
                <w:rFonts w:ascii="Arial" w:hAnsi="Arial" w:cs="Arial"/>
                <w:color w:val="4472C4" w:themeColor="accent1"/>
                <w:lang w:val="en-US"/>
              </w:rPr>
            </w:pPr>
            <w:r>
              <w:rPr>
                <w:rFonts w:ascii="Arial" w:hAnsi="Arial" w:cs="Arial"/>
                <w:color w:val="4472C4" w:themeColor="accent1"/>
              </w:rPr>
              <w:t>- strop nad przyziemiem 60%</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ściany I piętra</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xml:space="preserve">- strop nad I piętrem </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ściany II pięta</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strop nad II piętrem 70%</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schody 33%</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ścianki działowe – 12%</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elewacja – 12%</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rusztowania 22%</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rozdzielnie – 39%</w:t>
            </w:r>
          </w:p>
          <w:p w:rsidR="00F55079" w:rsidRDefault="00F55079" w:rsidP="00F55079">
            <w:pPr>
              <w:pStyle w:val="Akapitzlist"/>
              <w:ind w:left="1068" w:hanging="580"/>
              <w:rPr>
                <w:rFonts w:ascii="Arial" w:hAnsi="Arial" w:cs="Arial"/>
                <w:color w:val="4472C4" w:themeColor="accent1"/>
                <w:lang w:val="en-US"/>
              </w:rPr>
            </w:pPr>
            <w:r>
              <w:rPr>
                <w:rFonts w:ascii="Arial" w:hAnsi="Arial" w:cs="Arial"/>
                <w:color w:val="4472C4" w:themeColor="accent1"/>
              </w:rPr>
              <w:t>- instalacje teletechniczne – 16%</w:t>
            </w:r>
          </w:p>
          <w:p w:rsidR="00F55079" w:rsidRDefault="00F55079" w:rsidP="00F55079">
            <w:pPr>
              <w:pStyle w:val="Akapitzlist"/>
              <w:ind w:left="1068" w:hanging="580"/>
              <w:rPr>
                <w:rFonts w:ascii="Arial" w:hAnsi="Arial" w:cs="Arial"/>
                <w:color w:val="4472C4" w:themeColor="accent1"/>
              </w:rPr>
            </w:pPr>
          </w:p>
          <w:p w:rsidR="00F55079" w:rsidRDefault="00F55079" w:rsidP="00F55079">
            <w:pPr>
              <w:pStyle w:val="Akapitzlist"/>
              <w:numPr>
                <w:ilvl w:val="0"/>
                <w:numId w:val="16"/>
              </w:numPr>
              <w:spacing w:after="200" w:line="276" w:lineRule="auto"/>
              <w:contextualSpacing w:val="0"/>
              <w:rPr>
                <w:rFonts w:ascii="Arial" w:hAnsi="Arial" w:cs="Arial"/>
                <w:b/>
                <w:bCs/>
                <w:color w:val="4472C4" w:themeColor="accent1"/>
              </w:rPr>
            </w:pPr>
            <w:r>
              <w:rPr>
                <w:rFonts w:ascii="Arial" w:hAnsi="Arial" w:cs="Arial"/>
                <w:b/>
                <w:bCs/>
                <w:color w:val="4472C4" w:themeColor="accent1"/>
              </w:rPr>
              <w:t xml:space="preserve">Etap 4 od 01-03-2026 do 30-04-2026 - 10% kosztów inwestycji </w:t>
            </w:r>
          </w:p>
          <w:p w:rsidR="00F55079" w:rsidRDefault="00F55079" w:rsidP="00F55079">
            <w:pPr>
              <w:pStyle w:val="Akapitzlist"/>
              <w:ind w:left="1068" w:hanging="580"/>
              <w:rPr>
                <w:rFonts w:ascii="Arial" w:hAnsi="Arial" w:cs="Arial"/>
                <w:color w:val="4472C4" w:themeColor="accent1"/>
                <w:lang w:val="en-US"/>
              </w:rPr>
            </w:pPr>
            <w:r>
              <w:rPr>
                <w:rFonts w:ascii="Arial" w:hAnsi="Arial" w:cs="Arial"/>
                <w:color w:val="4472C4" w:themeColor="accent1"/>
              </w:rPr>
              <w:t>- strop nad II piętrem 30%</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ściany III piętra</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xml:space="preserve">- strop nad III piętrem </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dach 82%</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schody 33%</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ścianki działowe 21%</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elewacja – 16%</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elementy metalowe (balustrady, daszki) – 6%</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rusztowania 22%</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rozdzielnie – 39%</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trasy kablowe</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wewnętrzne linie zasilające</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lastRenderedPageBreak/>
              <w:t>- instalacje teletechniczne – 16%</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roboty budowlane pomocnicze</w:t>
            </w:r>
          </w:p>
          <w:p w:rsidR="00F55079" w:rsidRDefault="00F55079" w:rsidP="00F55079">
            <w:pPr>
              <w:pStyle w:val="Akapitzlist"/>
              <w:ind w:left="1068" w:hanging="580"/>
              <w:rPr>
                <w:rFonts w:ascii="Arial" w:hAnsi="Arial" w:cs="Arial"/>
                <w:color w:val="4472C4" w:themeColor="accent1"/>
              </w:rPr>
            </w:pPr>
          </w:p>
          <w:p w:rsidR="00F55079" w:rsidRDefault="00F55079" w:rsidP="00F55079">
            <w:pPr>
              <w:pStyle w:val="Akapitzlist"/>
              <w:numPr>
                <w:ilvl w:val="0"/>
                <w:numId w:val="16"/>
              </w:numPr>
              <w:spacing w:after="200" w:line="276" w:lineRule="auto"/>
              <w:contextualSpacing w:val="0"/>
              <w:rPr>
                <w:rFonts w:ascii="Arial" w:hAnsi="Arial" w:cs="Arial"/>
                <w:b/>
                <w:bCs/>
                <w:color w:val="4472C4" w:themeColor="accent1"/>
              </w:rPr>
            </w:pPr>
            <w:r>
              <w:rPr>
                <w:rFonts w:ascii="Arial" w:hAnsi="Arial" w:cs="Arial"/>
                <w:b/>
                <w:bCs/>
                <w:color w:val="4472C4" w:themeColor="accent1"/>
              </w:rPr>
              <w:t xml:space="preserve">Etap 5 od 01-05-2026 do 15-06-2026 - 10% kosztów inwestycji </w:t>
            </w:r>
          </w:p>
          <w:p w:rsidR="00F55079" w:rsidRDefault="00F55079" w:rsidP="00F55079">
            <w:pPr>
              <w:pStyle w:val="Akapitzlist"/>
              <w:ind w:left="1068" w:hanging="580"/>
              <w:rPr>
                <w:rFonts w:ascii="Arial" w:hAnsi="Arial" w:cs="Arial"/>
                <w:color w:val="4472C4" w:themeColor="accent1"/>
                <w:lang w:val="en-US"/>
              </w:rPr>
            </w:pPr>
            <w:r>
              <w:rPr>
                <w:rFonts w:ascii="Arial" w:hAnsi="Arial" w:cs="Arial"/>
                <w:color w:val="4472C4" w:themeColor="accent1"/>
              </w:rPr>
              <w:t>- dach 18%</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ścianki działowe 67%</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stolarka okienna – 64%</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elewacja 9%</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rusztowania – 34%</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zasilanie budynku</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rozdzielnie – 22%</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instalacja odgromowa</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instalacje teletechniczne – 16%</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instalacja zewnętrzna wody – 58%</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instalacja zewnętrzna kanalizacji sanitarnej</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instalacja zewnętrzna kanalizacji deszczowej – 69%</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kanalizacja sanitarna wewnętrzna – 35%</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instalacja wodociągowa – 20%</w:t>
            </w:r>
          </w:p>
          <w:p w:rsidR="00F55079" w:rsidRDefault="00F55079" w:rsidP="00F55079">
            <w:pPr>
              <w:pStyle w:val="Akapitzlist"/>
              <w:ind w:left="1068" w:hanging="580"/>
              <w:rPr>
                <w:rFonts w:ascii="Arial" w:hAnsi="Arial" w:cs="Arial"/>
                <w:color w:val="4472C4" w:themeColor="accent1"/>
              </w:rPr>
            </w:pPr>
          </w:p>
          <w:p w:rsidR="00F55079" w:rsidRDefault="00F55079" w:rsidP="00F55079">
            <w:pPr>
              <w:pStyle w:val="Akapitzlist"/>
              <w:numPr>
                <w:ilvl w:val="0"/>
                <w:numId w:val="16"/>
              </w:numPr>
              <w:spacing w:after="200" w:line="276" w:lineRule="auto"/>
              <w:contextualSpacing w:val="0"/>
              <w:rPr>
                <w:rFonts w:ascii="Arial" w:hAnsi="Arial" w:cs="Arial"/>
                <w:b/>
                <w:bCs/>
                <w:color w:val="4472C4" w:themeColor="accent1"/>
              </w:rPr>
            </w:pPr>
            <w:r>
              <w:rPr>
                <w:rFonts w:ascii="Arial" w:hAnsi="Arial" w:cs="Arial"/>
                <w:b/>
                <w:bCs/>
                <w:color w:val="4472C4" w:themeColor="accent1"/>
              </w:rPr>
              <w:t xml:space="preserve">Etap 6 od 16-06-2026 do 31-07-2026 – 10% kosztów inwestycji </w:t>
            </w:r>
          </w:p>
          <w:p w:rsidR="00F55079" w:rsidRDefault="00F55079" w:rsidP="00F55079">
            <w:pPr>
              <w:pStyle w:val="Akapitzlist"/>
              <w:rPr>
                <w:rFonts w:ascii="Arial" w:hAnsi="Arial" w:cs="Arial"/>
                <w:color w:val="4472C4" w:themeColor="accent1"/>
              </w:rPr>
            </w:pPr>
            <w:r>
              <w:rPr>
                <w:rFonts w:ascii="Arial" w:hAnsi="Arial" w:cs="Arial"/>
                <w:color w:val="4472C4" w:themeColor="accent1"/>
              </w:rPr>
              <w:t>- stolarka okienna – 36%</w:t>
            </w:r>
          </w:p>
          <w:p w:rsidR="00F55079" w:rsidRDefault="00F55079" w:rsidP="00F55079">
            <w:pPr>
              <w:pStyle w:val="Akapitzlist"/>
              <w:rPr>
                <w:rFonts w:ascii="Arial" w:hAnsi="Arial" w:cs="Arial"/>
                <w:color w:val="4472C4" w:themeColor="accent1"/>
              </w:rPr>
            </w:pPr>
            <w:r>
              <w:rPr>
                <w:rFonts w:ascii="Arial" w:hAnsi="Arial" w:cs="Arial"/>
                <w:color w:val="4472C4" w:themeColor="accent1"/>
              </w:rPr>
              <w:t>- tynki wewnętrzne – 65%</w:t>
            </w:r>
          </w:p>
          <w:p w:rsidR="00F55079" w:rsidRDefault="00F55079" w:rsidP="00F55079">
            <w:pPr>
              <w:pStyle w:val="Akapitzlist"/>
              <w:rPr>
                <w:rFonts w:ascii="Arial" w:hAnsi="Arial" w:cs="Arial"/>
                <w:color w:val="4472C4" w:themeColor="accent1"/>
              </w:rPr>
            </w:pPr>
            <w:r>
              <w:rPr>
                <w:rFonts w:ascii="Arial" w:hAnsi="Arial" w:cs="Arial"/>
                <w:color w:val="4472C4" w:themeColor="accent1"/>
              </w:rPr>
              <w:t>- elewacja – 16%</w:t>
            </w:r>
          </w:p>
          <w:p w:rsidR="00F55079" w:rsidRDefault="00F55079" w:rsidP="00F55079">
            <w:pPr>
              <w:pStyle w:val="Akapitzlist"/>
              <w:rPr>
                <w:rFonts w:ascii="Arial" w:hAnsi="Arial" w:cs="Arial"/>
                <w:color w:val="4472C4" w:themeColor="accent1"/>
              </w:rPr>
            </w:pPr>
            <w:r>
              <w:rPr>
                <w:rFonts w:ascii="Arial" w:hAnsi="Arial" w:cs="Arial"/>
                <w:color w:val="4472C4" w:themeColor="accent1"/>
              </w:rPr>
              <w:t>- roboty inne</w:t>
            </w:r>
          </w:p>
          <w:p w:rsidR="00F55079" w:rsidRDefault="00F55079" w:rsidP="00F55079">
            <w:pPr>
              <w:pStyle w:val="Akapitzlist"/>
              <w:rPr>
                <w:rFonts w:ascii="Arial" w:hAnsi="Arial" w:cs="Arial"/>
                <w:color w:val="4472C4" w:themeColor="accent1"/>
              </w:rPr>
            </w:pPr>
            <w:r>
              <w:rPr>
                <w:rFonts w:ascii="Arial" w:hAnsi="Arial" w:cs="Arial"/>
                <w:color w:val="4472C4" w:themeColor="accent1"/>
              </w:rPr>
              <w:t>- roboty drogowe - 53%</w:t>
            </w:r>
          </w:p>
          <w:p w:rsidR="00F55079" w:rsidRDefault="00F55079" w:rsidP="00F55079">
            <w:pPr>
              <w:pStyle w:val="Akapitzlist"/>
              <w:rPr>
                <w:rFonts w:ascii="Arial" w:hAnsi="Arial" w:cs="Arial"/>
                <w:color w:val="4472C4" w:themeColor="accent1"/>
              </w:rPr>
            </w:pPr>
            <w:r>
              <w:rPr>
                <w:rFonts w:ascii="Arial" w:hAnsi="Arial" w:cs="Arial"/>
                <w:color w:val="4472C4" w:themeColor="accent1"/>
              </w:rPr>
              <w:t>- instalacje teletechniczne – 16%</w:t>
            </w:r>
          </w:p>
          <w:p w:rsidR="00F55079" w:rsidRDefault="00F55079" w:rsidP="00F55079">
            <w:pPr>
              <w:pStyle w:val="Akapitzlist"/>
              <w:rPr>
                <w:rFonts w:ascii="Arial" w:hAnsi="Arial" w:cs="Arial"/>
                <w:color w:val="4472C4" w:themeColor="accent1"/>
              </w:rPr>
            </w:pPr>
            <w:r>
              <w:rPr>
                <w:rFonts w:ascii="Arial" w:hAnsi="Arial" w:cs="Arial"/>
                <w:color w:val="4472C4" w:themeColor="accent1"/>
              </w:rPr>
              <w:t>- instalacja zewnętrznej wody – 42%</w:t>
            </w:r>
          </w:p>
          <w:p w:rsidR="00F55079" w:rsidRDefault="00F55079" w:rsidP="00F55079">
            <w:pPr>
              <w:pStyle w:val="Akapitzlist"/>
              <w:rPr>
                <w:rFonts w:ascii="Arial" w:hAnsi="Arial" w:cs="Arial"/>
                <w:color w:val="4472C4" w:themeColor="accent1"/>
              </w:rPr>
            </w:pPr>
            <w:r>
              <w:rPr>
                <w:rFonts w:ascii="Arial" w:hAnsi="Arial" w:cs="Arial"/>
                <w:color w:val="4472C4" w:themeColor="accent1"/>
              </w:rPr>
              <w:t>- instalacja zewnętrznej kanalizacji deszczowej – 31%</w:t>
            </w:r>
          </w:p>
          <w:p w:rsidR="00F55079" w:rsidRDefault="00F55079" w:rsidP="00F55079">
            <w:pPr>
              <w:pStyle w:val="Akapitzlist"/>
              <w:rPr>
                <w:rFonts w:ascii="Arial" w:hAnsi="Arial" w:cs="Arial"/>
                <w:color w:val="4472C4" w:themeColor="accent1"/>
                <w:lang w:val="en-US"/>
              </w:rPr>
            </w:pPr>
            <w:r>
              <w:rPr>
                <w:rFonts w:ascii="Arial" w:hAnsi="Arial" w:cs="Arial"/>
                <w:color w:val="4472C4" w:themeColor="accent1"/>
              </w:rPr>
              <w:t>- kanalizacja sanitarna wewnętrzna – 20%</w:t>
            </w:r>
          </w:p>
          <w:p w:rsidR="00F55079" w:rsidRDefault="00F55079" w:rsidP="00F55079">
            <w:pPr>
              <w:pStyle w:val="Akapitzlist"/>
              <w:rPr>
                <w:rFonts w:ascii="Arial" w:hAnsi="Arial" w:cs="Arial"/>
                <w:color w:val="4472C4" w:themeColor="accent1"/>
              </w:rPr>
            </w:pPr>
          </w:p>
          <w:p w:rsidR="00F55079" w:rsidRDefault="00F55079" w:rsidP="00F55079">
            <w:pPr>
              <w:pStyle w:val="Akapitzlist"/>
              <w:numPr>
                <w:ilvl w:val="0"/>
                <w:numId w:val="16"/>
              </w:numPr>
              <w:spacing w:after="200" w:line="276" w:lineRule="auto"/>
              <w:contextualSpacing w:val="0"/>
              <w:rPr>
                <w:rFonts w:ascii="Arial" w:hAnsi="Arial" w:cs="Arial"/>
                <w:b/>
                <w:bCs/>
                <w:color w:val="4472C4" w:themeColor="accent1"/>
              </w:rPr>
            </w:pPr>
            <w:r>
              <w:rPr>
                <w:rFonts w:ascii="Arial" w:hAnsi="Arial" w:cs="Arial"/>
                <w:b/>
                <w:bCs/>
                <w:color w:val="4472C4" w:themeColor="accent1"/>
              </w:rPr>
              <w:t xml:space="preserve">Etap 7 od 01-08-2026 do 15-09-2026 - 10% kosztów inwestycji </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tynki wewnętrzne – 3%</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podłoża i warstwy posadzkowe – 65%</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elewacja – 29%</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elementy metalowe (balustrady, daszki) – 27%</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roboty drogowe – 35%</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instalacje teletechniczne – 21%</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instalacja gazowa wewnętrzna – 20%</w:t>
            </w:r>
          </w:p>
          <w:p w:rsidR="00F55079" w:rsidRDefault="00F55079" w:rsidP="00F55079">
            <w:pPr>
              <w:pStyle w:val="Akapitzlist"/>
              <w:ind w:left="1068" w:hanging="580"/>
              <w:rPr>
                <w:rFonts w:ascii="Arial" w:hAnsi="Arial" w:cs="Arial"/>
                <w:color w:val="4472C4" w:themeColor="accent1"/>
              </w:rPr>
            </w:pPr>
            <w:r>
              <w:rPr>
                <w:rFonts w:ascii="Arial" w:hAnsi="Arial" w:cs="Arial"/>
                <w:color w:val="4472C4" w:themeColor="accent1"/>
              </w:rPr>
              <w:t>- instalacja wodociągowa – 80%</w:t>
            </w:r>
          </w:p>
          <w:p w:rsidR="00F55079" w:rsidRDefault="00F55079" w:rsidP="00F55079">
            <w:pPr>
              <w:pStyle w:val="Akapitzlist"/>
              <w:ind w:left="1068" w:hanging="580"/>
              <w:rPr>
                <w:rFonts w:ascii="Arial" w:hAnsi="Arial" w:cs="Arial"/>
                <w:color w:val="4472C4" w:themeColor="accent1"/>
              </w:rPr>
            </w:pPr>
          </w:p>
          <w:p w:rsidR="00F55079" w:rsidRDefault="00F55079" w:rsidP="00F55079">
            <w:pPr>
              <w:pStyle w:val="Akapitzlist"/>
              <w:numPr>
                <w:ilvl w:val="0"/>
                <w:numId w:val="16"/>
              </w:numPr>
              <w:spacing w:after="200" w:line="276" w:lineRule="auto"/>
              <w:contextualSpacing w:val="0"/>
              <w:rPr>
                <w:rFonts w:ascii="Arial" w:hAnsi="Arial" w:cs="Arial"/>
                <w:b/>
                <w:bCs/>
                <w:color w:val="4472C4" w:themeColor="accent1"/>
              </w:rPr>
            </w:pPr>
            <w:r>
              <w:rPr>
                <w:rFonts w:ascii="Arial" w:hAnsi="Arial" w:cs="Arial"/>
                <w:b/>
                <w:bCs/>
                <w:color w:val="4472C4" w:themeColor="accent1"/>
              </w:rPr>
              <w:t xml:space="preserve">Etap 8 od 16-09-2026 do 30-10-2026 - 10% kosztów inwestycji </w:t>
            </w:r>
          </w:p>
          <w:p w:rsidR="00F55079" w:rsidRDefault="00F55079" w:rsidP="00F55079">
            <w:pPr>
              <w:pStyle w:val="Akapitzlist"/>
              <w:rPr>
                <w:rFonts w:ascii="Arial" w:hAnsi="Arial" w:cs="Arial"/>
                <w:color w:val="4472C4" w:themeColor="accent1"/>
              </w:rPr>
            </w:pPr>
            <w:r>
              <w:rPr>
                <w:rFonts w:ascii="Arial" w:hAnsi="Arial" w:cs="Arial"/>
                <w:color w:val="4472C4" w:themeColor="accent1"/>
              </w:rPr>
              <w:t>- stolarka drzwiowa – 36%</w:t>
            </w:r>
          </w:p>
          <w:p w:rsidR="00F55079" w:rsidRDefault="00F55079" w:rsidP="00F55079">
            <w:pPr>
              <w:pStyle w:val="Akapitzlist"/>
              <w:rPr>
                <w:rFonts w:ascii="Arial" w:hAnsi="Arial" w:cs="Arial"/>
                <w:color w:val="4472C4" w:themeColor="accent1"/>
              </w:rPr>
            </w:pPr>
            <w:r>
              <w:rPr>
                <w:rFonts w:ascii="Arial" w:hAnsi="Arial" w:cs="Arial"/>
                <w:color w:val="4472C4" w:themeColor="accent1"/>
              </w:rPr>
              <w:t>- ślusarka otworowa – 71%</w:t>
            </w:r>
          </w:p>
          <w:p w:rsidR="00F55079" w:rsidRDefault="00F55079" w:rsidP="00F55079">
            <w:pPr>
              <w:pStyle w:val="Akapitzlist"/>
              <w:rPr>
                <w:rFonts w:ascii="Arial" w:hAnsi="Arial" w:cs="Arial"/>
                <w:color w:val="4472C4" w:themeColor="accent1"/>
              </w:rPr>
            </w:pPr>
            <w:r>
              <w:rPr>
                <w:rFonts w:ascii="Arial" w:hAnsi="Arial" w:cs="Arial"/>
                <w:color w:val="4472C4" w:themeColor="accent1"/>
              </w:rPr>
              <w:t>- tynki wewnętrzne – 32%</w:t>
            </w:r>
          </w:p>
          <w:p w:rsidR="00F55079" w:rsidRDefault="00F55079" w:rsidP="00F55079">
            <w:pPr>
              <w:pStyle w:val="Akapitzlist"/>
              <w:rPr>
                <w:rFonts w:ascii="Arial" w:hAnsi="Arial" w:cs="Arial"/>
                <w:color w:val="4472C4" w:themeColor="accent1"/>
              </w:rPr>
            </w:pPr>
            <w:r>
              <w:rPr>
                <w:rFonts w:ascii="Arial" w:hAnsi="Arial" w:cs="Arial"/>
                <w:color w:val="4472C4" w:themeColor="accent1"/>
              </w:rPr>
              <w:lastRenderedPageBreak/>
              <w:t>- podłoża i warstwy posadzkowe – 35%</w:t>
            </w:r>
          </w:p>
          <w:p w:rsidR="00F55079" w:rsidRDefault="00F55079" w:rsidP="00F55079">
            <w:pPr>
              <w:pStyle w:val="Akapitzlist"/>
              <w:rPr>
                <w:rFonts w:ascii="Arial" w:hAnsi="Arial" w:cs="Arial"/>
                <w:color w:val="4472C4" w:themeColor="accent1"/>
              </w:rPr>
            </w:pPr>
            <w:r>
              <w:rPr>
                <w:rFonts w:ascii="Arial" w:hAnsi="Arial" w:cs="Arial"/>
                <w:color w:val="4472C4" w:themeColor="accent1"/>
              </w:rPr>
              <w:t>- elewacja – 8%</w:t>
            </w:r>
          </w:p>
          <w:p w:rsidR="00F55079" w:rsidRDefault="00F55079" w:rsidP="00F55079">
            <w:pPr>
              <w:pStyle w:val="Akapitzlist"/>
              <w:rPr>
                <w:rFonts w:ascii="Arial" w:hAnsi="Arial" w:cs="Arial"/>
                <w:color w:val="4472C4" w:themeColor="accent1"/>
              </w:rPr>
            </w:pPr>
            <w:r>
              <w:rPr>
                <w:rFonts w:ascii="Arial" w:hAnsi="Arial" w:cs="Arial"/>
                <w:color w:val="4472C4" w:themeColor="accent1"/>
              </w:rPr>
              <w:t>- roboty drogowe – 9%</w:t>
            </w:r>
          </w:p>
          <w:p w:rsidR="00F55079" w:rsidRDefault="00F55079" w:rsidP="00F55079">
            <w:pPr>
              <w:pStyle w:val="Akapitzlist"/>
              <w:rPr>
                <w:rFonts w:ascii="Arial" w:hAnsi="Arial" w:cs="Arial"/>
                <w:color w:val="4472C4" w:themeColor="accent1"/>
              </w:rPr>
            </w:pPr>
            <w:r>
              <w:rPr>
                <w:rFonts w:ascii="Arial" w:hAnsi="Arial" w:cs="Arial"/>
                <w:color w:val="4472C4" w:themeColor="accent1"/>
              </w:rPr>
              <w:t>- montaż opraw oświetleniowych – 45%</w:t>
            </w:r>
          </w:p>
          <w:p w:rsidR="00F55079" w:rsidRDefault="00F55079" w:rsidP="00F55079">
            <w:pPr>
              <w:pStyle w:val="Akapitzlist"/>
              <w:rPr>
                <w:rFonts w:ascii="Arial" w:hAnsi="Arial" w:cs="Arial"/>
                <w:color w:val="4472C4" w:themeColor="accent1"/>
              </w:rPr>
            </w:pPr>
            <w:r>
              <w:rPr>
                <w:rFonts w:ascii="Arial" w:hAnsi="Arial" w:cs="Arial"/>
                <w:color w:val="4472C4" w:themeColor="accent1"/>
              </w:rPr>
              <w:t>- montaż gniazd i urządzeń – 18%</w:t>
            </w:r>
          </w:p>
          <w:p w:rsidR="00F55079" w:rsidRDefault="00F55079" w:rsidP="00F55079">
            <w:pPr>
              <w:pStyle w:val="Akapitzlist"/>
              <w:rPr>
                <w:rFonts w:ascii="Arial" w:hAnsi="Arial" w:cs="Arial"/>
                <w:color w:val="4472C4" w:themeColor="accent1"/>
              </w:rPr>
            </w:pPr>
            <w:r>
              <w:rPr>
                <w:rFonts w:ascii="Arial" w:hAnsi="Arial" w:cs="Arial"/>
                <w:color w:val="4472C4" w:themeColor="accent1"/>
              </w:rPr>
              <w:t>- oświetlenie zewnętrzne – 36%</w:t>
            </w:r>
          </w:p>
          <w:p w:rsidR="00F55079" w:rsidRDefault="00F55079" w:rsidP="00F55079">
            <w:pPr>
              <w:pStyle w:val="Akapitzlist"/>
              <w:rPr>
                <w:rFonts w:ascii="Arial" w:hAnsi="Arial" w:cs="Arial"/>
                <w:color w:val="4472C4" w:themeColor="accent1"/>
              </w:rPr>
            </w:pPr>
            <w:r>
              <w:rPr>
                <w:rFonts w:ascii="Arial" w:hAnsi="Arial" w:cs="Arial"/>
                <w:color w:val="4472C4" w:themeColor="accent1"/>
              </w:rPr>
              <w:t>- instalacje teletechniczne – 15%</w:t>
            </w:r>
          </w:p>
          <w:p w:rsidR="00F55079" w:rsidRDefault="00F55079" w:rsidP="00F55079">
            <w:pPr>
              <w:pStyle w:val="Akapitzlist"/>
              <w:rPr>
                <w:rFonts w:ascii="Arial" w:hAnsi="Arial" w:cs="Arial"/>
                <w:color w:val="4472C4" w:themeColor="accent1"/>
              </w:rPr>
            </w:pPr>
            <w:r>
              <w:rPr>
                <w:rFonts w:ascii="Arial" w:hAnsi="Arial" w:cs="Arial"/>
                <w:color w:val="4472C4" w:themeColor="accent1"/>
              </w:rPr>
              <w:t>- studnia chłonna – 45%</w:t>
            </w:r>
          </w:p>
          <w:p w:rsidR="00F55079" w:rsidRDefault="00F55079" w:rsidP="00F55079">
            <w:pPr>
              <w:pStyle w:val="Akapitzlist"/>
              <w:rPr>
                <w:rFonts w:ascii="Arial" w:hAnsi="Arial" w:cs="Arial"/>
                <w:color w:val="4472C4" w:themeColor="accent1"/>
              </w:rPr>
            </w:pPr>
            <w:r>
              <w:rPr>
                <w:rFonts w:ascii="Arial" w:hAnsi="Arial" w:cs="Arial"/>
                <w:color w:val="4472C4" w:themeColor="accent1"/>
              </w:rPr>
              <w:t>- kotły gazowe</w:t>
            </w:r>
          </w:p>
          <w:p w:rsidR="00F55079" w:rsidRDefault="00F55079" w:rsidP="00F55079">
            <w:pPr>
              <w:pStyle w:val="Akapitzlist"/>
              <w:rPr>
                <w:rFonts w:ascii="Arial" w:hAnsi="Arial" w:cs="Arial"/>
                <w:color w:val="4472C4" w:themeColor="accent1"/>
              </w:rPr>
            </w:pPr>
            <w:r>
              <w:rPr>
                <w:rFonts w:ascii="Arial" w:hAnsi="Arial" w:cs="Arial"/>
                <w:color w:val="4472C4" w:themeColor="accent1"/>
              </w:rPr>
              <w:t>- ogrzewanie podłogowe – 64%</w:t>
            </w:r>
          </w:p>
          <w:p w:rsidR="00F55079" w:rsidRDefault="00F55079" w:rsidP="00F55079">
            <w:pPr>
              <w:pStyle w:val="Akapitzlist"/>
              <w:rPr>
                <w:rFonts w:ascii="Arial" w:hAnsi="Arial" w:cs="Arial"/>
                <w:color w:val="4472C4" w:themeColor="accent1"/>
              </w:rPr>
            </w:pPr>
          </w:p>
          <w:p w:rsidR="00F55079" w:rsidRDefault="00F55079" w:rsidP="00F55079">
            <w:pPr>
              <w:pStyle w:val="Akapitzlist"/>
              <w:numPr>
                <w:ilvl w:val="0"/>
                <w:numId w:val="16"/>
              </w:numPr>
              <w:spacing w:after="200" w:line="276" w:lineRule="auto"/>
              <w:contextualSpacing w:val="0"/>
              <w:rPr>
                <w:rFonts w:ascii="Arial" w:hAnsi="Arial" w:cs="Arial"/>
                <w:b/>
                <w:bCs/>
                <w:color w:val="4472C4" w:themeColor="accent1"/>
              </w:rPr>
            </w:pPr>
            <w:r>
              <w:rPr>
                <w:rFonts w:ascii="Arial" w:hAnsi="Arial" w:cs="Arial"/>
                <w:b/>
                <w:bCs/>
                <w:color w:val="4472C4" w:themeColor="accent1"/>
              </w:rPr>
              <w:t xml:space="preserve">Etap 9 od 01-11-2026r do 30-11-2026 - 10% kosztów inwestycji </w:t>
            </w:r>
          </w:p>
          <w:p w:rsidR="00F55079" w:rsidRDefault="00F55079" w:rsidP="00F55079">
            <w:pPr>
              <w:pStyle w:val="Akapitzlist"/>
              <w:rPr>
                <w:rFonts w:ascii="Arial" w:hAnsi="Arial" w:cs="Arial"/>
                <w:color w:val="4472C4" w:themeColor="accent1"/>
              </w:rPr>
            </w:pPr>
            <w:r>
              <w:rPr>
                <w:rFonts w:ascii="Arial" w:hAnsi="Arial" w:cs="Arial"/>
                <w:color w:val="4472C4" w:themeColor="accent1"/>
              </w:rPr>
              <w:t>- stolarka drzwiowa – 64%</w:t>
            </w:r>
          </w:p>
          <w:p w:rsidR="00F55079" w:rsidRDefault="00F55079" w:rsidP="00F55079">
            <w:pPr>
              <w:pStyle w:val="Akapitzlist"/>
              <w:rPr>
                <w:rFonts w:ascii="Arial" w:hAnsi="Arial" w:cs="Arial"/>
                <w:color w:val="4472C4" w:themeColor="accent1"/>
              </w:rPr>
            </w:pPr>
            <w:r>
              <w:rPr>
                <w:rFonts w:ascii="Arial" w:hAnsi="Arial" w:cs="Arial"/>
                <w:color w:val="4472C4" w:themeColor="accent1"/>
              </w:rPr>
              <w:t>- ślusarka otworowa – 29%</w:t>
            </w:r>
          </w:p>
          <w:p w:rsidR="00F55079" w:rsidRDefault="00F55079" w:rsidP="00F55079">
            <w:pPr>
              <w:pStyle w:val="Akapitzlist"/>
              <w:rPr>
                <w:rFonts w:ascii="Arial" w:hAnsi="Arial" w:cs="Arial"/>
                <w:color w:val="4472C4" w:themeColor="accent1"/>
              </w:rPr>
            </w:pPr>
            <w:r>
              <w:rPr>
                <w:rFonts w:ascii="Arial" w:hAnsi="Arial" w:cs="Arial"/>
                <w:color w:val="4472C4" w:themeColor="accent1"/>
              </w:rPr>
              <w:t>- elewacja -10%</w:t>
            </w:r>
          </w:p>
          <w:p w:rsidR="00F55079" w:rsidRDefault="00F55079" w:rsidP="00F55079">
            <w:pPr>
              <w:pStyle w:val="Akapitzlist"/>
              <w:rPr>
                <w:rFonts w:ascii="Arial" w:hAnsi="Arial" w:cs="Arial"/>
                <w:color w:val="4472C4" w:themeColor="accent1"/>
              </w:rPr>
            </w:pPr>
            <w:r>
              <w:rPr>
                <w:rFonts w:ascii="Arial" w:hAnsi="Arial" w:cs="Arial"/>
                <w:color w:val="4472C4" w:themeColor="accent1"/>
              </w:rPr>
              <w:t>- posadzki i malowanie klatek schodowych</w:t>
            </w:r>
          </w:p>
          <w:p w:rsidR="00F55079" w:rsidRDefault="00F55079" w:rsidP="00F55079">
            <w:pPr>
              <w:pStyle w:val="Akapitzlist"/>
              <w:rPr>
                <w:rFonts w:ascii="Arial" w:hAnsi="Arial" w:cs="Arial"/>
                <w:color w:val="4472C4" w:themeColor="accent1"/>
              </w:rPr>
            </w:pPr>
            <w:r>
              <w:rPr>
                <w:rFonts w:ascii="Arial" w:hAnsi="Arial" w:cs="Arial"/>
                <w:color w:val="4472C4" w:themeColor="accent1"/>
              </w:rPr>
              <w:t>- elementy metalowe (balustrady, daszki) – 67%</w:t>
            </w:r>
          </w:p>
          <w:p w:rsidR="00F55079" w:rsidRDefault="00F55079" w:rsidP="00F55079">
            <w:pPr>
              <w:pStyle w:val="Akapitzlist"/>
              <w:rPr>
                <w:rFonts w:ascii="Arial" w:hAnsi="Arial" w:cs="Arial"/>
                <w:color w:val="4472C4" w:themeColor="accent1"/>
              </w:rPr>
            </w:pPr>
            <w:r>
              <w:rPr>
                <w:rFonts w:ascii="Arial" w:hAnsi="Arial" w:cs="Arial"/>
                <w:color w:val="4472C4" w:themeColor="accent1"/>
              </w:rPr>
              <w:t>- roboty drogowe – 3%</w:t>
            </w:r>
          </w:p>
          <w:p w:rsidR="00F55079" w:rsidRDefault="00F55079" w:rsidP="00F55079">
            <w:pPr>
              <w:pStyle w:val="Akapitzlist"/>
              <w:rPr>
                <w:rFonts w:ascii="Arial" w:hAnsi="Arial" w:cs="Arial"/>
                <w:color w:val="4472C4" w:themeColor="accent1"/>
              </w:rPr>
            </w:pPr>
            <w:r>
              <w:rPr>
                <w:rFonts w:ascii="Arial" w:hAnsi="Arial" w:cs="Arial"/>
                <w:color w:val="4472C4" w:themeColor="accent1"/>
              </w:rPr>
              <w:t>- montaż opraw oświetleniowych – 55%</w:t>
            </w:r>
          </w:p>
          <w:p w:rsidR="00F55079" w:rsidRDefault="00F55079" w:rsidP="00F55079">
            <w:pPr>
              <w:pStyle w:val="Akapitzlist"/>
              <w:rPr>
                <w:rFonts w:ascii="Arial" w:hAnsi="Arial" w:cs="Arial"/>
                <w:color w:val="4472C4" w:themeColor="accent1"/>
              </w:rPr>
            </w:pPr>
            <w:r>
              <w:rPr>
                <w:rFonts w:ascii="Arial" w:hAnsi="Arial" w:cs="Arial"/>
                <w:color w:val="4472C4" w:themeColor="accent1"/>
              </w:rPr>
              <w:t>- montaż gniazd i urządzeń – 82%</w:t>
            </w:r>
          </w:p>
          <w:p w:rsidR="00F55079" w:rsidRDefault="00F55079" w:rsidP="00F55079">
            <w:pPr>
              <w:pStyle w:val="Akapitzlist"/>
              <w:rPr>
                <w:rFonts w:ascii="Arial" w:hAnsi="Arial" w:cs="Arial"/>
                <w:color w:val="4472C4" w:themeColor="accent1"/>
              </w:rPr>
            </w:pPr>
            <w:r>
              <w:rPr>
                <w:rFonts w:ascii="Arial" w:hAnsi="Arial" w:cs="Arial"/>
                <w:color w:val="4472C4" w:themeColor="accent1"/>
              </w:rPr>
              <w:t>- oświetlenie zewnętrzne – 74%</w:t>
            </w:r>
          </w:p>
          <w:p w:rsidR="00F55079" w:rsidRDefault="00F55079" w:rsidP="00F55079">
            <w:pPr>
              <w:pStyle w:val="Akapitzlist"/>
              <w:rPr>
                <w:rFonts w:ascii="Arial" w:hAnsi="Arial" w:cs="Arial"/>
                <w:color w:val="4472C4" w:themeColor="accent1"/>
              </w:rPr>
            </w:pPr>
            <w:r>
              <w:rPr>
                <w:rFonts w:ascii="Arial" w:hAnsi="Arial" w:cs="Arial"/>
                <w:color w:val="4472C4" w:themeColor="accent1"/>
              </w:rPr>
              <w:t>- pomiary elektryczne</w:t>
            </w:r>
          </w:p>
          <w:p w:rsidR="00F55079" w:rsidRDefault="00F55079" w:rsidP="00F55079">
            <w:pPr>
              <w:pStyle w:val="Akapitzlist"/>
              <w:rPr>
                <w:rFonts w:ascii="Arial" w:hAnsi="Arial" w:cs="Arial"/>
                <w:color w:val="4472C4" w:themeColor="accent1"/>
              </w:rPr>
            </w:pPr>
            <w:r>
              <w:rPr>
                <w:rFonts w:ascii="Arial" w:hAnsi="Arial" w:cs="Arial"/>
                <w:color w:val="4472C4" w:themeColor="accent1"/>
              </w:rPr>
              <w:t>- studnia chłonna – 55%</w:t>
            </w:r>
          </w:p>
          <w:p w:rsidR="00F55079" w:rsidRDefault="00F55079" w:rsidP="00F55079">
            <w:pPr>
              <w:pStyle w:val="Akapitzlist"/>
              <w:rPr>
                <w:rFonts w:ascii="Arial" w:hAnsi="Arial" w:cs="Arial"/>
                <w:color w:val="4472C4" w:themeColor="accent1"/>
              </w:rPr>
            </w:pPr>
            <w:r>
              <w:rPr>
                <w:rFonts w:ascii="Arial" w:hAnsi="Arial" w:cs="Arial"/>
                <w:color w:val="4472C4" w:themeColor="accent1"/>
              </w:rPr>
              <w:t>- ogrzewanie podłogowe – 36%</w:t>
            </w:r>
          </w:p>
          <w:p w:rsidR="00F55079" w:rsidRDefault="00F55079" w:rsidP="00F55079">
            <w:pPr>
              <w:pStyle w:val="Akapitzlist"/>
              <w:rPr>
                <w:rFonts w:ascii="Arial" w:hAnsi="Arial" w:cs="Arial"/>
                <w:color w:val="4472C4" w:themeColor="accent1"/>
                <w:lang w:val="en-US"/>
              </w:rPr>
            </w:pPr>
            <w:r>
              <w:rPr>
                <w:rFonts w:ascii="Arial" w:hAnsi="Arial" w:cs="Arial"/>
                <w:color w:val="4472C4" w:themeColor="accent1"/>
              </w:rPr>
              <w:t>- roboty budowlane</w:t>
            </w:r>
          </w:p>
          <w:p w:rsidR="001C505B" w:rsidRDefault="00217952">
            <w:pPr>
              <w:ind w:left="2"/>
            </w:pPr>
            <w:r>
              <w:t xml:space="preserve">               </w:t>
            </w:r>
            <w:r w:rsidRPr="00217952">
              <w:rPr>
                <w:color w:val="00B0F0"/>
              </w:rPr>
              <w:t xml:space="preserve">- </w:t>
            </w:r>
            <w:r w:rsidRPr="00217952">
              <w:rPr>
                <w:color w:val="0070C0"/>
              </w:rPr>
              <w:t xml:space="preserve">studnia chłonna </w:t>
            </w:r>
          </w:p>
        </w:tc>
      </w:tr>
      <w:tr w:rsidR="001C505B">
        <w:trPr>
          <w:trHeight w:val="723"/>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rsidR="001C505B" w:rsidRDefault="00E81E84">
            <w:r>
              <w:rPr>
                <w:rFonts w:ascii="Times New Roman" w:eastAsia="Times New Roman" w:hAnsi="Times New Roman" w:cs="Times New Roman"/>
                <w:sz w:val="20"/>
              </w:rPr>
              <w:lastRenderedPageBreak/>
              <w:t xml:space="preserve">Dopuszczenie waloryzacji ceny oraz określenie zasad waloryzacji </w:t>
            </w:r>
          </w:p>
        </w:tc>
        <w:tc>
          <w:tcPr>
            <w:tcW w:w="6674" w:type="dxa"/>
            <w:tcBorders>
              <w:top w:val="single" w:sz="4" w:space="0" w:color="000000"/>
              <w:left w:val="single" w:sz="4" w:space="0" w:color="000000"/>
              <w:bottom w:val="single" w:sz="4" w:space="0" w:color="000000"/>
              <w:right w:val="single" w:sz="4" w:space="0" w:color="000000"/>
            </w:tcBorders>
          </w:tcPr>
          <w:p w:rsidR="00F55079" w:rsidRPr="00F55079" w:rsidRDefault="00E81E84" w:rsidP="00F55079">
            <w:pPr>
              <w:ind w:left="2"/>
              <w:rPr>
                <w:rFonts w:ascii="Times New Roman" w:eastAsia="Times New Roman" w:hAnsi="Times New Roman" w:cs="Times New Roman"/>
                <w:color w:val="0070C0"/>
                <w:sz w:val="20"/>
              </w:rPr>
            </w:pPr>
            <w:r>
              <w:rPr>
                <w:rFonts w:ascii="Times New Roman" w:eastAsia="Times New Roman" w:hAnsi="Times New Roman" w:cs="Times New Roman"/>
                <w:sz w:val="20"/>
              </w:rPr>
              <w:t xml:space="preserve"> </w:t>
            </w:r>
            <w:r w:rsidR="00F55079" w:rsidRPr="00F55079">
              <w:rPr>
                <w:rFonts w:ascii="Times New Roman" w:eastAsia="Times New Roman" w:hAnsi="Times New Roman" w:cs="Times New Roman"/>
                <w:color w:val="0070C0"/>
                <w:sz w:val="20"/>
              </w:rPr>
              <w:t>Zmiana ceny jest możliwa w poniższych przypadkach:</w:t>
            </w:r>
          </w:p>
          <w:p w:rsidR="00F55079" w:rsidRDefault="00F55079" w:rsidP="00F55079">
            <w:pPr>
              <w:pStyle w:val="Akapitzlist"/>
              <w:numPr>
                <w:ilvl w:val="0"/>
                <w:numId w:val="18"/>
              </w:numPr>
              <w:rPr>
                <w:rFonts w:ascii="Times New Roman" w:eastAsia="Times New Roman" w:hAnsi="Times New Roman" w:cs="Times New Roman"/>
                <w:color w:val="0070C0"/>
                <w:sz w:val="20"/>
              </w:rPr>
            </w:pPr>
            <w:r w:rsidRPr="00F55079">
              <w:rPr>
                <w:rFonts w:ascii="Times New Roman" w:eastAsia="Times New Roman" w:hAnsi="Times New Roman" w:cs="Times New Roman"/>
                <w:color w:val="0070C0"/>
                <w:sz w:val="20"/>
              </w:rPr>
              <w:t>Jeżeli pomiędzy powierzchnią przedmiotu umowy określoną w niniejszej umowie, a powierzchnią wynikającą z dokumentacji powykonawczej o której mowa w § 3 ust 8 umowy wystąpią różnice, przez co strony rozumieją zarówno zmniejszenie jak i zwiększenie powierzchni, to cena przeniesienia własności wynikająca z ustępu 1  niniejszego paragrafu zostanie zmieniona z uwzględnieniem ceny za metr kwadratowy powierzchni określonej w dokumentacji powykonawczej.</w:t>
            </w:r>
          </w:p>
          <w:p w:rsidR="001C505B" w:rsidRPr="00F55079" w:rsidRDefault="00F55079" w:rsidP="00F55079">
            <w:pPr>
              <w:pStyle w:val="Akapitzlist"/>
              <w:numPr>
                <w:ilvl w:val="0"/>
                <w:numId w:val="18"/>
              </w:numPr>
              <w:rPr>
                <w:rFonts w:ascii="Times New Roman" w:eastAsia="Times New Roman" w:hAnsi="Times New Roman" w:cs="Times New Roman"/>
                <w:color w:val="0070C0"/>
                <w:sz w:val="20"/>
              </w:rPr>
            </w:pPr>
            <w:r w:rsidRPr="00F55079">
              <w:rPr>
                <w:rFonts w:ascii="Times New Roman" w:eastAsia="Times New Roman" w:hAnsi="Times New Roman" w:cs="Times New Roman"/>
                <w:color w:val="0070C0"/>
                <w:sz w:val="20"/>
              </w:rPr>
              <w:t>W przypadku, gdy stawka podatku od towarów i usług ulegnie zmianie, wskazana kwota brutto obejmująca podatek od towarów i usług, określona zostanie według stawki tego podatku, zgodnie z obowiązującymi przepisami prawa lub wydaną decyzją, na mocy niniejszej umowy, o czym NABYWCA zostanie pisemnie zawiadomiony przez Dewelopera.</w:t>
            </w:r>
          </w:p>
        </w:tc>
      </w:tr>
      <w:tr w:rsidR="001C505B">
        <w:trPr>
          <w:trHeight w:val="1200"/>
        </w:trPr>
        <w:tc>
          <w:tcPr>
            <w:tcW w:w="9644" w:type="dxa"/>
            <w:gridSpan w:val="2"/>
            <w:tcBorders>
              <w:top w:val="single" w:sz="4" w:space="0" w:color="000000"/>
              <w:left w:val="single" w:sz="4" w:space="0" w:color="000000"/>
              <w:bottom w:val="single" w:sz="4" w:space="0" w:color="000000"/>
              <w:right w:val="single" w:sz="4" w:space="0" w:color="000000"/>
            </w:tcBorders>
            <w:shd w:val="clear" w:color="auto" w:fill="E0E0E0"/>
            <w:vAlign w:val="center"/>
          </w:tcPr>
          <w:p w:rsidR="001C505B" w:rsidRDefault="00E81E84">
            <w:pPr>
              <w:spacing w:after="13"/>
            </w:pPr>
            <w:r>
              <w:rPr>
                <w:rFonts w:ascii="Times New Roman" w:eastAsia="Times New Roman" w:hAnsi="Times New Roman" w:cs="Times New Roman"/>
                <w:b/>
                <w:sz w:val="20"/>
              </w:rPr>
              <w:t xml:space="preserve">WARUNKI ODSTĄPIENIA OD UMOWY DEWELOPERSKIEJ LUB UMOWY, O KTÓREJ MOWA </w:t>
            </w:r>
          </w:p>
          <w:p w:rsidR="001C505B" w:rsidRDefault="00E81E84">
            <w:pPr>
              <w:spacing w:after="14"/>
            </w:pPr>
            <w:r>
              <w:rPr>
                <w:rFonts w:ascii="Times New Roman" w:eastAsia="Times New Roman" w:hAnsi="Times New Roman" w:cs="Times New Roman"/>
                <w:b/>
                <w:sz w:val="20"/>
              </w:rPr>
              <w:t xml:space="preserve">W ART. 2 UST. 1 PKT 2, 3 LUB 5 USTAWY Z DNIA 20 MAJA 2021 r. O OCHRONIE PRAW NABYWCY </w:t>
            </w:r>
          </w:p>
          <w:p w:rsidR="001C505B" w:rsidRDefault="00E81E84">
            <w:r>
              <w:rPr>
                <w:rFonts w:ascii="Times New Roman" w:eastAsia="Times New Roman" w:hAnsi="Times New Roman" w:cs="Times New Roman"/>
                <w:b/>
                <w:sz w:val="20"/>
              </w:rPr>
              <w:t xml:space="preserve">LOKALU MIESZKALNEGO LUB DOMU JEDNORODZINNEGO ORAZ DEWELOPERSKIM FUNDUSZU GWARANCYJNYM </w:t>
            </w:r>
          </w:p>
        </w:tc>
      </w:tr>
      <w:tr w:rsidR="001C505B">
        <w:trPr>
          <w:trHeight w:val="2825"/>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rsidR="001C505B" w:rsidRDefault="00E81E84">
            <w:pPr>
              <w:spacing w:line="278" w:lineRule="auto"/>
              <w:ind w:right="111"/>
            </w:pPr>
            <w:r>
              <w:rPr>
                <w:rFonts w:ascii="Times New Roman" w:eastAsia="Times New Roman" w:hAnsi="Times New Roman" w:cs="Times New Roman"/>
                <w:sz w:val="20"/>
              </w:rPr>
              <w:lastRenderedPageBreak/>
              <w:t xml:space="preserve">Warunki, na jakich można odstąpić od umowy deweloperskiej lub jednej z umów, o których mowa w art. 2 ust. 1 pkt 2, 3 lub 5 ustawy z dnia 20 maja 2021 r. o ochronie praw nabywcy lokalu mieszkalnego lub domu jednorodzinnego oraz Deweloperskim Funduszu </w:t>
            </w:r>
          </w:p>
          <w:p w:rsidR="001C505B" w:rsidRDefault="00E81E84">
            <w:r>
              <w:rPr>
                <w:rFonts w:ascii="Times New Roman" w:eastAsia="Times New Roman" w:hAnsi="Times New Roman" w:cs="Times New Roman"/>
                <w:sz w:val="20"/>
              </w:rPr>
              <w:t xml:space="preserve">Gwarancyjnym </w:t>
            </w:r>
          </w:p>
        </w:tc>
        <w:tc>
          <w:tcPr>
            <w:tcW w:w="6674" w:type="dxa"/>
            <w:tcBorders>
              <w:top w:val="single" w:sz="4" w:space="0" w:color="000000"/>
              <w:left w:val="single" w:sz="4" w:space="0" w:color="000000"/>
              <w:bottom w:val="single" w:sz="4" w:space="0" w:color="000000"/>
              <w:right w:val="single" w:sz="4" w:space="0" w:color="000000"/>
            </w:tcBorders>
          </w:tcPr>
          <w:p w:rsidR="009806F0" w:rsidRPr="009806F0" w:rsidRDefault="00E81E84">
            <w:pPr>
              <w:ind w:left="2"/>
              <w:rPr>
                <w:color w:val="0070C0"/>
              </w:rPr>
            </w:pPr>
            <w:r w:rsidRPr="009806F0">
              <w:rPr>
                <w:rFonts w:ascii="Times New Roman" w:eastAsia="Times New Roman" w:hAnsi="Times New Roman" w:cs="Times New Roman"/>
                <w:color w:val="0070C0"/>
                <w:sz w:val="20"/>
              </w:rPr>
              <w:t xml:space="preserve"> </w:t>
            </w:r>
          </w:p>
          <w:p w:rsidR="009806F0" w:rsidRPr="009806F0" w:rsidRDefault="009806F0" w:rsidP="009806F0">
            <w:pPr>
              <w:pStyle w:val="Akapitzlist"/>
              <w:numPr>
                <w:ilvl w:val="0"/>
                <w:numId w:val="19"/>
              </w:numPr>
              <w:spacing w:line="360" w:lineRule="auto"/>
              <w:contextualSpacing w:val="0"/>
              <w:rPr>
                <w:rFonts w:ascii="Arial" w:hAnsi="Arial" w:cs="Arial"/>
                <w:color w:val="0070C0"/>
                <w:sz w:val="24"/>
              </w:rPr>
            </w:pPr>
            <w:r w:rsidRPr="009806F0">
              <w:rPr>
                <w:rFonts w:ascii="Arial" w:hAnsi="Arial" w:cs="Arial"/>
                <w:color w:val="0070C0"/>
                <w:sz w:val="24"/>
              </w:rPr>
              <w:t>Deweloper ma prawo odstąpić od Umowy deweloperskiej w razie:</w:t>
            </w:r>
          </w:p>
          <w:p w:rsidR="009806F0" w:rsidRPr="009806F0" w:rsidRDefault="009806F0" w:rsidP="009806F0">
            <w:pPr>
              <w:pStyle w:val="Akapitzlist"/>
              <w:numPr>
                <w:ilvl w:val="0"/>
                <w:numId w:val="20"/>
              </w:numPr>
              <w:spacing w:line="360" w:lineRule="auto"/>
              <w:contextualSpacing w:val="0"/>
              <w:rPr>
                <w:rFonts w:ascii="Arial" w:hAnsi="Arial" w:cs="Arial"/>
                <w:color w:val="0070C0"/>
                <w:sz w:val="24"/>
              </w:rPr>
            </w:pPr>
            <w:r w:rsidRPr="009806F0">
              <w:rPr>
                <w:rFonts w:ascii="Arial" w:hAnsi="Arial" w:cs="Arial"/>
                <w:color w:val="0070C0"/>
                <w:sz w:val="24"/>
              </w:rPr>
              <w:t>niespełnienia  przez  Nabywcę    świadczenia  pieniężnego  w  terminach  lub wysokości określonych w umowie deweloperskiej, mimo wezwania Nabywcy w  formie  pisemnej  do  uiszczenia  zaległych  kwot  w  terminie  30  dni  od  dnia doręczenia  wezwania,  chyba  że  niespełnienie  przez  Nabywcę świadczenia pieniężnego jest spowodowane działaniem siły wyższej</w:t>
            </w:r>
          </w:p>
          <w:p w:rsidR="009806F0" w:rsidRPr="009806F0" w:rsidRDefault="009806F0" w:rsidP="009806F0">
            <w:pPr>
              <w:pStyle w:val="Akapitzlist"/>
              <w:numPr>
                <w:ilvl w:val="0"/>
                <w:numId w:val="20"/>
              </w:numPr>
              <w:spacing w:line="360" w:lineRule="auto"/>
              <w:contextualSpacing w:val="0"/>
              <w:rPr>
                <w:rFonts w:ascii="Arial" w:hAnsi="Arial" w:cs="Arial"/>
                <w:color w:val="0070C0"/>
                <w:sz w:val="24"/>
              </w:rPr>
            </w:pPr>
            <w:r w:rsidRPr="009806F0">
              <w:rPr>
                <w:rFonts w:ascii="Arial" w:hAnsi="Arial" w:cs="Arial"/>
                <w:color w:val="0070C0"/>
                <w:sz w:val="24"/>
              </w:rPr>
              <w:t>w  przypadku  dwukrotnego nie stawienia  się  Nabywcy  do  odbioru  Lokalu  lub  do podpisania Umowy  Sprzedaży,    pomimo  dwukrotnego  doręczenia  Kupującym  wezwania w formie  pisemnej  w  odstępie  co  najmniej  60  dni,  chyba  że  niestawienie  się Kupujących jest spowodowane działaniem siły wyższej.</w:t>
            </w:r>
          </w:p>
          <w:p w:rsidR="009806F0" w:rsidRPr="009806F0" w:rsidRDefault="009806F0" w:rsidP="009806F0">
            <w:pPr>
              <w:pStyle w:val="Akapitzlist"/>
              <w:numPr>
                <w:ilvl w:val="0"/>
                <w:numId w:val="19"/>
              </w:numPr>
              <w:spacing w:line="360" w:lineRule="auto"/>
              <w:contextualSpacing w:val="0"/>
              <w:rPr>
                <w:rFonts w:ascii="Arial" w:hAnsi="Arial" w:cs="Arial"/>
                <w:color w:val="0070C0"/>
                <w:sz w:val="24"/>
              </w:rPr>
            </w:pPr>
            <w:r w:rsidRPr="009806F0">
              <w:rPr>
                <w:rFonts w:ascii="Arial" w:hAnsi="Arial" w:cs="Arial"/>
                <w:color w:val="0070C0"/>
                <w:sz w:val="24"/>
              </w:rPr>
              <w:t>Nabywcy mogą odstąpić od umowy w razie:</w:t>
            </w:r>
          </w:p>
          <w:p w:rsidR="009806F0" w:rsidRPr="009806F0" w:rsidRDefault="009806F0" w:rsidP="009806F0">
            <w:pPr>
              <w:spacing w:line="360" w:lineRule="auto"/>
              <w:rPr>
                <w:rFonts w:ascii="Arial" w:hAnsi="Arial" w:cs="Arial"/>
                <w:color w:val="0070C0"/>
                <w:sz w:val="24"/>
              </w:rPr>
            </w:pPr>
          </w:p>
          <w:p w:rsidR="009806F0" w:rsidRPr="009806F0" w:rsidRDefault="009806F0" w:rsidP="009806F0">
            <w:pPr>
              <w:pStyle w:val="Akapitzlist"/>
              <w:numPr>
                <w:ilvl w:val="0"/>
                <w:numId w:val="21"/>
              </w:numPr>
              <w:spacing w:line="360" w:lineRule="auto"/>
              <w:ind w:left="928"/>
              <w:contextualSpacing w:val="0"/>
              <w:rPr>
                <w:rFonts w:ascii="Arial" w:hAnsi="Arial" w:cs="Arial"/>
                <w:color w:val="0070C0"/>
                <w:sz w:val="24"/>
              </w:rPr>
            </w:pPr>
            <w:r w:rsidRPr="009806F0">
              <w:rPr>
                <w:rFonts w:ascii="Arial" w:hAnsi="Arial" w:cs="Arial"/>
                <w:color w:val="0070C0"/>
                <w:sz w:val="24"/>
              </w:rPr>
              <w:t xml:space="preserve">jeżeli  umowa deweloperska  nie  zawiera  elementów,    </w:t>
            </w:r>
            <w:r w:rsidRPr="009806F0">
              <w:rPr>
                <w:rFonts w:ascii="Noto Serif" w:hAnsi="Noto Serif" w:cs="Noto Serif"/>
                <w:color w:val="0070C0"/>
                <w:sz w:val="21"/>
                <w:szCs w:val="21"/>
                <w:shd w:val="clear" w:color="auto" w:fill="FFFFFF"/>
              </w:rPr>
              <w:t>o których mowa w </w:t>
            </w:r>
            <w:hyperlink r:id="rId15" w:history="1">
              <w:r w:rsidRPr="009806F0">
                <w:rPr>
                  <w:rStyle w:val="Hipercze"/>
                  <w:rFonts w:ascii="Noto Serif" w:hAnsi="Noto Serif" w:cs="Noto Serif"/>
                  <w:color w:val="0070C0"/>
                  <w:sz w:val="21"/>
                  <w:szCs w:val="21"/>
                  <w:shd w:val="clear" w:color="auto" w:fill="FFFFFF"/>
                </w:rPr>
                <w:t>art. 35</w:t>
              </w:r>
            </w:hyperlink>
            <w:r w:rsidRPr="009806F0">
              <w:rPr>
                <w:rFonts w:ascii="Noto Serif" w:hAnsi="Noto Serif" w:cs="Noto Serif"/>
                <w:color w:val="0070C0"/>
                <w:sz w:val="21"/>
                <w:szCs w:val="21"/>
                <w:shd w:val="clear" w:color="auto" w:fill="FFFFFF"/>
              </w:rPr>
              <w:t xml:space="preserve">, </w:t>
            </w:r>
            <w:r w:rsidRPr="009806F0">
              <w:rPr>
                <w:rFonts w:ascii="Arial" w:hAnsi="Arial" w:cs="Arial"/>
                <w:color w:val="0070C0"/>
                <w:sz w:val="24"/>
              </w:rPr>
              <w:t xml:space="preserve">  ustawy z dnia 20 maja 2021r o ochronie praw nabywcy lokalu mieszkalnego lub domu jednorodzinnego oraz deweloperskim funduszu gwarancyjnym</w:t>
            </w:r>
            <w:r w:rsidRPr="009806F0">
              <w:rPr>
                <w:rFonts w:ascii="Noto Serif" w:hAnsi="Noto Serif" w:cs="Noto Serif"/>
                <w:b/>
                <w:bCs/>
                <w:color w:val="0070C0"/>
                <w:sz w:val="21"/>
                <w:szCs w:val="21"/>
                <w:shd w:val="clear" w:color="auto" w:fill="FFFFFF"/>
              </w:rPr>
              <w:t> </w:t>
            </w:r>
            <w:hyperlink r:id="rId16" w:history="1">
              <w:r w:rsidRPr="009806F0">
                <w:rPr>
                  <w:rStyle w:val="Hipercze"/>
                  <w:rFonts w:ascii="Noto Serif" w:hAnsi="Noto Serif" w:cs="Noto Serif"/>
                  <w:color w:val="0070C0"/>
                  <w:sz w:val="21"/>
                  <w:szCs w:val="21"/>
                  <w:shd w:val="clear" w:color="auto" w:fill="FFFFFF"/>
                </w:rPr>
                <w:t>(Dz.U. z 2021 r. poz. 1177)</w:t>
              </w:r>
            </w:hyperlink>
            <w:r w:rsidRPr="009806F0">
              <w:rPr>
                <w:rStyle w:val="Hipercze"/>
                <w:rFonts w:ascii="Noto Serif" w:hAnsi="Noto Serif" w:cs="Noto Serif"/>
                <w:color w:val="0070C0"/>
                <w:sz w:val="21"/>
                <w:szCs w:val="21"/>
                <w:shd w:val="clear" w:color="auto" w:fill="FFFFFF"/>
              </w:rPr>
              <w:t>, zwaną dalej „ustawą deweloperską”</w:t>
            </w:r>
          </w:p>
          <w:p w:rsidR="009806F0" w:rsidRPr="009806F0" w:rsidRDefault="009806F0" w:rsidP="009806F0">
            <w:pPr>
              <w:pStyle w:val="Akapitzlist"/>
              <w:numPr>
                <w:ilvl w:val="0"/>
                <w:numId w:val="21"/>
              </w:numPr>
              <w:spacing w:line="360" w:lineRule="auto"/>
              <w:ind w:left="928"/>
              <w:contextualSpacing w:val="0"/>
              <w:rPr>
                <w:rFonts w:ascii="Arial" w:hAnsi="Arial" w:cs="Arial"/>
                <w:color w:val="0070C0"/>
                <w:sz w:val="24"/>
              </w:rPr>
            </w:pPr>
            <w:r w:rsidRPr="009806F0">
              <w:rPr>
                <w:rFonts w:ascii="Arial" w:hAnsi="Arial" w:cs="Arial"/>
                <w:color w:val="0070C0"/>
                <w:sz w:val="24"/>
              </w:rPr>
              <w:t xml:space="preserve"> jeżeli  informacje  zawarte  w  umowie  deweloperskiej  nie  są  zgodne  z informacjami  zawartymi  w  prospekcie  informacyjnym  lub  w  załącznikach,  za wyjątkiem zmian, o których mowa w art. 35 ust. 2 ustawy deweloperskiej.</w:t>
            </w:r>
          </w:p>
          <w:p w:rsidR="009806F0" w:rsidRPr="009806F0" w:rsidRDefault="009806F0" w:rsidP="009806F0">
            <w:pPr>
              <w:pStyle w:val="Akapitzlist"/>
              <w:numPr>
                <w:ilvl w:val="0"/>
                <w:numId w:val="21"/>
              </w:numPr>
              <w:spacing w:line="360" w:lineRule="auto"/>
              <w:ind w:left="928"/>
              <w:contextualSpacing w:val="0"/>
              <w:rPr>
                <w:rFonts w:ascii="Arial" w:hAnsi="Arial" w:cs="Arial"/>
                <w:color w:val="0070C0"/>
                <w:sz w:val="24"/>
              </w:rPr>
            </w:pPr>
            <w:r w:rsidRPr="009806F0">
              <w:rPr>
                <w:rFonts w:ascii="Arial" w:hAnsi="Arial" w:cs="Arial"/>
                <w:color w:val="0070C0"/>
                <w:sz w:val="24"/>
              </w:rPr>
              <w:t xml:space="preserve">jeżeli Deweloper nie doręczył zgodnie z art. 21 i art. 22 ustawy określonej w lit. a) powyżej prospektu </w:t>
            </w:r>
            <w:r w:rsidRPr="009806F0">
              <w:rPr>
                <w:rFonts w:ascii="Arial" w:hAnsi="Arial" w:cs="Arial"/>
                <w:color w:val="0070C0"/>
                <w:sz w:val="24"/>
              </w:rPr>
              <w:lastRenderedPageBreak/>
              <w:t xml:space="preserve">informacyjnego wraz z załącznikami, </w:t>
            </w:r>
            <w:r w:rsidRPr="009806F0">
              <w:rPr>
                <w:rFonts w:ascii="Arial" w:hAnsi="Arial" w:cs="Arial"/>
                <w:color w:val="0070C0"/>
                <w:sz w:val="24"/>
                <w:shd w:val="clear" w:color="auto" w:fill="FFFFFF"/>
              </w:rPr>
              <w:t>lub informacji o zmianie danych lub informacji zawartych w prospekcie informacyjnym lub jego załącznikach;</w:t>
            </w:r>
          </w:p>
          <w:p w:rsidR="009806F0" w:rsidRPr="009806F0" w:rsidRDefault="009806F0" w:rsidP="009806F0">
            <w:pPr>
              <w:pStyle w:val="Akapitzlist"/>
              <w:numPr>
                <w:ilvl w:val="0"/>
                <w:numId w:val="21"/>
              </w:numPr>
              <w:spacing w:line="360" w:lineRule="auto"/>
              <w:ind w:left="928"/>
              <w:contextualSpacing w:val="0"/>
              <w:rPr>
                <w:rFonts w:ascii="Arial" w:hAnsi="Arial" w:cs="Arial"/>
                <w:color w:val="0070C0"/>
                <w:sz w:val="24"/>
              </w:rPr>
            </w:pPr>
            <w:r w:rsidRPr="009806F0">
              <w:rPr>
                <w:rFonts w:ascii="Arial" w:hAnsi="Arial" w:cs="Arial"/>
                <w:color w:val="0070C0"/>
                <w:sz w:val="24"/>
              </w:rPr>
              <w:t>jeżeli  informacje  zawarte  w  prospekcie  informacyjnym  lub  w  załącznikach,  na podstawie  których  zawarto  niniejszą  umowę,  są  niezgodne  ze  stanem faktycznym i prawnym w dniu podpisania umowy deweloperskiej;</w:t>
            </w:r>
          </w:p>
          <w:p w:rsidR="009806F0" w:rsidRPr="009806F0" w:rsidRDefault="009806F0" w:rsidP="009806F0">
            <w:pPr>
              <w:pStyle w:val="Akapitzlist"/>
              <w:numPr>
                <w:ilvl w:val="0"/>
                <w:numId w:val="21"/>
              </w:numPr>
              <w:spacing w:line="360" w:lineRule="auto"/>
              <w:ind w:left="928"/>
              <w:contextualSpacing w:val="0"/>
              <w:rPr>
                <w:rFonts w:ascii="Arial" w:hAnsi="Arial" w:cs="Arial"/>
                <w:color w:val="0070C0"/>
                <w:sz w:val="24"/>
              </w:rPr>
            </w:pPr>
            <w:r w:rsidRPr="009806F0">
              <w:rPr>
                <w:rFonts w:ascii="Arial" w:hAnsi="Arial" w:cs="Arial"/>
                <w:color w:val="0070C0"/>
                <w:sz w:val="24"/>
              </w:rPr>
              <w:t xml:space="preserve"> jeżeli prospekt informacyjny, na podstawie którego zawarto umowę deweloperską, nie zawiera  informacji  określonych  we  wzorze  prospektu  informacyjnego stanowiącego załącznik do ustawy wskazanej w lit. a) powyżej</w:t>
            </w:r>
          </w:p>
          <w:p w:rsidR="009806F0" w:rsidRPr="009806F0" w:rsidRDefault="009806F0" w:rsidP="009806F0">
            <w:pPr>
              <w:pStyle w:val="Akapitzlist"/>
              <w:numPr>
                <w:ilvl w:val="0"/>
                <w:numId w:val="21"/>
              </w:numPr>
              <w:spacing w:line="360" w:lineRule="auto"/>
              <w:ind w:left="928"/>
              <w:contextualSpacing w:val="0"/>
              <w:rPr>
                <w:rFonts w:ascii="Arial" w:hAnsi="Arial" w:cs="Arial"/>
                <w:color w:val="0070C0"/>
                <w:sz w:val="24"/>
              </w:rPr>
            </w:pPr>
            <w:r w:rsidRPr="009806F0">
              <w:rPr>
                <w:rFonts w:ascii="Arial" w:hAnsi="Arial" w:cs="Arial"/>
                <w:color w:val="0070C0"/>
                <w:sz w:val="24"/>
              </w:rPr>
              <w:t xml:space="preserve">w przypadku nieprzeniesienia na Nabywcę prawa własności Lokalu w terminie określonym w § 4 ust 3 umowy deweloperskiej, z zastrzeżeniem postanowień ust 4  paragrafu 7 umowy deweloperskiej; </w:t>
            </w:r>
          </w:p>
          <w:p w:rsidR="009806F0" w:rsidRPr="009806F0" w:rsidRDefault="009806F0" w:rsidP="009806F0">
            <w:pPr>
              <w:pStyle w:val="Akapitzlist"/>
              <w:numPr>
                <w:ilvl w:val="0"/>
                <w:numId w:val="21"/>
              </w:numPr>
              <w:shd w:val="clear" w:color="auto" w:fill="FFFFFF"/>
              <w:spacing w:line="240" w:lineRule="auto"/>
              <w:ind w:left="928"/>
              <w:contextualSpacing w:val="0"/>
              <w:rPr>
                <w:rFonts w:ascii="Arial" w:eastAsia="Times New Roman" w:hAnsi="Arial" w:cs="Arial"/>
                <w:color w:val="0070C0"/>
                <w:sz w:val="24"/>
                <w:bdr w:val="none" w:sz="0" w:space="0" w:color="auto" w:frame="1"/>
              </w:rPr>
            </w:pPr>
            <w:r w:rsidRPr="009806F0">
              <w:rPr>
                <w:rFonts w:ascii="Arial" w:eastAsia="Times New Roman" w:hAnsi="Arial" w:cs="Arial"/>
                <w:color w:val="0070C0"/>
                <w:sz w:val="24"/>
                <w:bdr w:val="none" w:sz="0" w:space="0" w:color="auto" w:frame="1"/>
              </w:rPr>
              <w:t xml:space="preserve">w przypadku gdy deweloper nie zawrze umowy mieszkaniowego rachunku powierniczego z innym bankiem </w:t>
            </w:r>
            <w:r w:rsidRPr="009806F0">
              <w:rPr>
                <w:rFonts w:ascii="Arial" w:hAnsi="Arial" w:cs="Arial"/>
                <w:color w:val="0070C0"/>
                <w:lang w:eastAsia="en-US"/>
              </w:rPr>
              <w:t>lub spółdzielczą kasą oszczędnościowo – kredytową</w:t>
            </w:r>
            <w:r w:rsidRPr="009806F0">
              <w:rPr>
                <w:rFonts w:ascii="Arial" w:eastAsia="Times New Roman" w:hAnsi="Arial" w:cs="Arial"/>
                <w:color w:val="0070C0"/>
                <w:sz w:val="24"/>
                <w:bdr w:val="none" w:sz="0" w:space="0" w:color="auto" w:frame="1"/>
              </w:rPr>
              <w:t xml:space="preserve"> w trybie i terminie, o których mowa w art. 10 ust. 1 ustawy deweloperskiej;</w:t>
            </w:r>
          </w:p>
          <w:p w:rsidR="009806F0" w:rsidRPr="009806F0" w:rsidRDefault="009806F0" w:rsidP="009806F0">
            <w:pPr>
              <w:pStyle w:val="Akapitzlist"/>
              <w:numPr>
                <w:ilvl w:val="0"/>
                <w:numId w:val="21"/>
              </w:numPr>
              <w:shd w:val="clear" w:color="auto" w:fill="FFFFFF"/>
              <w:spacing w:line="240" w:lineRule="auto"/>
              <w:ind w:left="928"/>
              <w:contextualSpacing w:val="0"/>
              <w:rPr>
                <w:rFonts w:ascii="Arial" w:eastAsia="Times New Roman" w:hAnsi="Arial" w:cs="Arial"/>
                <w:color w:val="0070C0"/>
                <w:sz w:val="24"/>
                <w:bdr w:val="none" w:sz="0" w:space="0" w:color="auto" w:frame="1"/>
              </w:rPr>
            </w:pPr>
            <w:r w:rsidRPr="009806F0">
              <w:rPr>
                <w:rFonts w:ascii="Arial" w:eastAsia="Times New Roman" w:hAnsi="Arial" w:cs="Arial"/>
                <w:color w:val="0070C0"/>
                <w:sz w:val="24"/>
                <w:bdr w:val="none" w:sz="0" w:space="0" w:color="auto" w:frame="1"/>
              </w:rPr>
              <w:t> w przypadku niewykonania przez dewelopera obowiązku, o którym mowa w art. 12 ust. 2 ustawy deweloperskiej, w terminie określonym w tym przepisie;</w:t>
            </w:r>
          </w:p>
          <w:p w:rsidR="009806F0" w:rsidRPr="009806F0" w:rsidRDefault="009806F0" w:rsidP="009806F0">
            <w:pPr>
              <w:pStyle w:val="Akapitzlist"/>
              <w:numPr>
                <w:ilvl w:val="0"/>
                <w:numId w:val="21"/>
              </w:numPr>
              <w:shd w:val="clear" w:color="auto" w:fill="FFFFFF"/>
              <w:spacing w:line="240" w:lineRule="auto"/>
              <w:ind w:left="928"/>
              <w:contextualSpacing w:val="0"/>
              <w:rPr>
                <w:rFonts w:ascii="Arial" w:eastAsia="Times New Roman" w:hAnsi="Arial" w:cs="Arial"/>
                <w:color w:val="0070C0"/>
                <w:sz w:val="24"/>
                <w:bdr w:val="none" w:sz="0" w:space="0" w:color="auto" w:frame="1"/>
              </w:rPr>
            </w:pPr>
            <w:r w:rsidRPr="009806F0">
              <w:rPr>
                <w:rFonts w:ascii="Arial" w:eastAsia="Times New Roman" w:hAnsi="Arial" w:cs="Arial"/>
                <w:color w:val="0070C0"/>
                <w:sz w:val="24"/>
                <w:bdr w:val="none" w:sz="0" w:space="0" w:color="auto" w:frame="1"/>
              </w:rPr>
              <w:t xml:space="preserve"> w przypadku nieusunięcia przez dewelopera wady istotnej lokalu mieszkalnego albo domu jednorodzinnego na zasadach określonych w art. 41 ust. 11 ustawy </w:t>
            </w:r>
            <w:r w:rsidRPr="009806F0">
              <w:rPr>
                <w:rFonts w:ascii="Arial" w:eastAsia="Times New Roman" w:hAnsi="Arial" w:cs="Arial"/>
                <w:color w:val="0070C0"/>
                <w:sz w:val="24"/>
              </w:rPr>
              <w:t>deweloperskiej</w:t>
            </w:r>
            <w:r w:rsidRPr="009806F0">
              <w:rPr>
                <w:rFonts w:ascii="Arial" w:eastAsia="Times New Roman" w:hAnsi="Arial" w:cs="Arial"/>
                <w:color w:val="0070C0"/>
                <w:sz w:val="24"/>
                <w:bdr w:val="none" w:sz="0" w:space="0" w:color="auto" w:frame="1"/>
              </w:rPr>
              <w:t>;</w:t>
            </w:r>
          </w:p>
          <w:p w:rsidR="009806F0" w:rsidRPr="009806F0" w:rsidRDefault="009806F0" w:rsidP="009806F0">
            <w:pPr>
              <w:pStyle w:val="Akapitzlist"/>
              <w:numPr>
                <w:ilvl w:val="0"/>
                <w:numId w:val="21"/>
              </w:numPr>
              <w:shd w:val="clear" w:color="auto" w:fill="FFFFFF"/>
              <w:spacing w:line="240" w:lineRule="auto"/>
              <w:ind w:left="928"/>
              <w:contextualSpacing w:val="0"/>
              <w:rPr>
                <w:rFonts w:ascii="Arial" w:eastAsia="Times New Roman" w:hAnsi="Arial" w:cs="Arial"/>
                <w:color w:val="0070C0"/>
                <w:sz w:val="24"/>
                <w:bdr w:val="none" w:sz="0" w:space="0" w:color="auto" w:frame="1"/>
              </w:rPr>
            </w:pPr>
            <w:r w:rsidRPr="009806F0">
              <w:rPr>
                <w:rFonts w:ascii="Arial" w:eastAsia="Times New Roman" w:hAnsi="Arial" w:cs="Arial"/>
                <w:color w:val="0070C0"/>
                <w:sz w:val="24"/>
                <w:bdr w:val="none" w:sz="0" w:space="0" w:color="auto" w:frame="1"/>
              </w:rPr>
              <w:t xml:space="preserve"> w przypadku stwierdzenia przez rzeczoznawcę istnienia wady istotnej, o którym mowa w art. 41 ust. 15 ustawy </w:t>
            </w:r>
            <w:r w:rsidRPr="009806F0">
              <w:rPr>
                <w:rFonts w:ascii="Arial" w:eastAsia="Times New Roman" w:hAnsi="Arial" w:cs="Arial"/>
                <w:color w:val="0070C0"/>
                <w:sz w:val="24"/>
              </w:rPr>
              <w:t>deweloperskiej</w:t>
            </w:r>
            <w:r w:rsidRPr="009806F0">
              <w:rPr>
                <w:rFonts w:ascii="Arial" w:eastAsia="Times New Roman" w:hAnsi="Arial" w:cs="Arial"/>
                <w:color w:val="0070C0"/>
                <w:sz w:val="24"/>
                <w:bdr w:val="none" w:sz="0" w:space="0" w:color="auto" w:frame="1"/>
              </w:rPr>
              <w:t>;</w:t>
            </w:r>
          </w:p>
          <w:p w:rsidR="009806F0" w:rsidRPr="009806F0" w:rsidRDefault="009806F0" w:rsidP="009806F0">
            <w:pPr>
              <w:pStyle w:val="Akapitzlist"/>
              <w:numPr>
                <w:ilvl w:val="0"/>
                <w:numId w:val="21"/>
              </w:numPr>
              <w:shd w:val="clear" w:color="auto" w:fill="FFFFFF"/>
              <w:spacing w:line="240" w:lineRule="auto"/>
              <w:ind w:left="928"/>
              <w:contextualSpacing w:val="0"/>
              <w:rPr>
                <w:rFonts w:ascii="Arial" w:eastAsia="Times New Roman" w:hAnsi="Arial" w:cs="Arial"/>
                <w:color w:val="0070C0"/>
                <w:sz w:val="24"/>
                <w:bdr w:val="none" w:sz="0" w:space="0" w:color="auto" w:frame="1"/>
              </w:rPr>
            </w:pPr>
            <w:r w:rsidRPr="009806F0">
              <w:rPr>
                <w:rFonts w:ascii="Arial" w:eastAsia="Times New Roman" w:hAnsi="Arial" w:cs="Arial"/>
                <w:color w:val="0070C0"/>
                <w:sz w:val="24"/>
                <w:bdr w:val="none" w:sz="0" w:space="0" w:color="auto" w:frame="1"/>
              </w:rPr>
              <w:t> jeżeli syndyk zażądał wykonania umowy na podstawie art. 98 ustawy z dnia 28 lutego 2003 r. - Prawo upadłościowe.</w:t>
            </w:r>
          </w:p>
          <w:p w:rsidR="009806F0" w:rsidRPr="009806F0" w:rsidRDefault="009806F0" w:rsidP="009806F0">
            <w:pPr>
              <w:pStyle w:val="Akapitzlist"/>
              <w:numPr>
                <w:ilvl w:val="0"/>
                <w:numId w:val="21"/>
              </w:numPr>
              <w:shd w:val="clear" w:color="auto" w:fill="FFFFFF"/>
              <w:spacing w:line="240" w:lineRule="auto"/>
              <w:ind w:left="928"/>
              <w:contextualSpacing w:val="0"/>
              <w:rPr>
                <w:rFonts w:ascii="Arial" w:eastAsia="Times New Roman" w:hAnsi="Arial" w:cs="Arial"/>
                <w:color w:val="0070C0"/>
                <w:sz w:val="24"/>
                <w:bdr w:val="none" w:sz="0" w:space="0" w:color="auto" w:frame="1"/>
              </w:rPr>
            </w:pPr>
            <w:r w:rsidRPr="009806F0">
              <w:rPr>
                <w:rFonts w:ascii="Arial" w:eastAsia="Times New Roman" w:hAnsi="Arial" w:cs="Arial"/>
                <w:color w:val="0070C0"/>
                <w:sz w:val="24"/>
                <w:bdr w:val="none" w:sz="0" w:space="0" w:color="auto" w:frame="1"/>
              </w:rPr>
              <w:t>wzrostu stawki podatku VAT.</w:t>
            </w:r>
          </w:p>
          <w:p w:rsidR="009806F0" w:rsidRPr="009806F0" w:rsidRDefault="009806F0" w:rsidP="009806F0">
            <w:pPr>
              <w:spacing w:line="360" w:lineRule="auto"/>
              <w:rPr>
                <w:rFonts w:ascii="Arial" w:hAnsi="Arial" w:cs="Arial"/>
                <w:color w:val="0070C0"/>
                <w:sz w:val="24"/>
              </w:rPr>
            </w:pPr>
          </w:p>
          <w:p w:rsidR="009806F0" w:rsidRPr="009806F0" w:rsidRDefault="009806F0" w:rsidP="009806F0">
            <w:pPr>
              <w:pStyle w:val="Akapitzlist"/>
              <w:numPr>
                <w:ilvl w:val="0"/>
                <w:numId w:val="19"/>
              </w:numPr>
              <w:spacing w:line="360" w:lineRule="auto"/>
              <w:contextualSpacing w:val="0"/>
              <w:rPr>
                <w:rFonts w:ascii="Arial" w:hAnsi="Arial" w:cs="Arial"/>
                <w:color w:val="0070C0"/>
                <w:sz w:val="24"/>
              </w:rPr>
            </w:pPr>
            <w:r w:rsidRPr="009806F0">
              <w:rPr>
                <w:rFonts w:ascii="Arial" w:hAnsi="Arial" w:cs="Arial"/>
                <w:color w:val="0070C0"/>
                <w:sz w:val="24"/>
              </w:rPr>
              <w:t xml:space="preserve">W  przypadkach,  o  których  mowa  w  pkt 2 a - e  powyżej,  Nabywca może odstąpić od  umowy </w:t>
            </w:r>
            <w:r w:rsidRPr="009806F0">
              <w:rPr>
                <w:rFonts w:ascii="Arial" w:hAnsi="Arial" w:cs="Arial"/>
                <w:color w:val="0070C0"/>
                <w:sz w:val="24"/>
              </w:rPr>
              <w:lastRenderedPageBreak/>
              <w:t>deweloperskiej w terminie 30 dni od dnia jej zawarcia.</w:t>
            </w:r>
          </w:p>
          <w:p w:rsidR="009806F0" w:rsidRPr="009806F0" w:rsidRDefault="009806F0" w:rsidP="009806F0">
            <w:pPr>
              <w:pStyle w:val="Akapitzlist"/>
              <w:numPr>
                <w:ilvl w:val="0"/>
                <w:numId w:val="19"/>
              </w:numPr>
              <w:spacing w:line="360" w:lineRule="auto"/>
              <w:contextualSpacing w:val="0"/>
              <w:rPr>
                <w:rFonts w:ascii="Arial" w:hAnsi="Arial" w:cs="Arial"/>
                <w:color w:val="0070C0"/>
                <w:sz w:val="24"/>
              </w:rPr>
            </w:pPr>
            <w:r w:rsidRPr="009806F0">
              <w:rPr>
                <w:rFonts w:ascii="Arial" w:hAnsi="Arial" w:cs="Arial"/>
                <w:color w:val="0070C0"/>
                <w:sz w:val="24"/>
              </w:rPr>
              <w:t xml:space="preserve">W przypadku, o którym mowa w ust. 2 f  powyżej, przed skorzystaniem z prawa do  odstąpienia  od  umowy deweloperska  Kupujący  zobowiązany  są  wyznaczyć Deweloperowi 120-dniowy   termin na przeniesienie prawa własności Lokalu, a w razie bezskutecznego  upływu  wyznaczonego  terminu  będzie  uprawniony do odstąpienia od umowy deweloperskiej. </w:t>
            </w:r>
          </w:p>
          <w:p w:rsidR="009806F0" w:rsidRPr="009806F0" w:rsidRDefault="009806F0" w:rsidP="009806F0">
            <w:pPr>
              <w:pStyle w:val="Akapitzlist"/>
              <w:numPr>
                <w:ilvl w:val="0"/>
                <w:numId w:val="19"/>
              </w:numPr>
              <w:spacing w:line="360" w:lineRule="auto"/>
              <w:contextualSpacing w:val="0"/>
              <w:rPr>
                <w:rFonts w:ascii="Arial" w:hAnsi="Arial" w:cs="Arial"/>
                <w:color w:val="0070C0"/>
                <w:sz w:val="24"/>
              </w:rPr>
            </w:pPr>
            <w:r w:rsidRPr="009806F0">
              <w:rPr>
                <w:rFonts w:ascii="Arial" w:hAnsi="Arial" w:cs="Arial"/>
                <w:color w:val="0070C0"/>
                <w:sz w:val="24"/>
              </w:rPr>
              <w:t>W przypadku odstąpienia od umowy Deweloperskiej na podstawie pkt 2 lit. f) powyżej, Nabywca zachowuje roszczenie z tytułu kary umownej za okres opóźnienia.</w:t>
            </w:r>
          </w:p>
          <w:p w:rsidR="009806F0" w:rsidRPr="009806F0" w:rsidRDefault="009806F0" w:rsidP="009806F0">
            <w:pPr>
              <w:pStyle w:val="Akapitzlist"/>
              <w:numPr>
                <w:ilvl w:val="0"/>
                <w:numId w:val="19"/>
              </w:numPr>
              <w:spacing w:line="360" w:lineRule="auto"/>
              <w:contextualSpacing w:val="0"/>
              <w:rPr>
                <w:rFonts w:ascii="Arial" w:hAnsi="Arial" w:cs="Arial"/>
                <w:color w:val="0070C0"/>
                <w:sz w:val="24"/>
              </w:rPr>
            </w:pPr>
            <w:r w:rsidRPr="009806F0">
              <w:rPr>
                <w:rFonts w:ascii="Arial" w:hAnsi="Arial" w:cs="Arial"/>
                <w:color w:val="0070C0"/>
                <w:sz w:val="24"/>
              </w:rPr>
              <w:t>W przypadku, o którym mowa w ust. 2 lit.) g, nabywca ma prawo odstąpienia od umowy deweloperskiej po dokonaniu przez bank zwrotu środków zgodnie z art. 10 ust. 3 ustawy</w:t>
            </w:r>
          </w:p>
          <w:p w:rsidR="009806F0" w:rsidRPr="009806F0" w:rsidRDefault="009806F0" w:rsidP="009806F0">
            <w:pPr>
              <w:pStyle w:val="Akapitzlist"/>
              <w:numPr>
                <w:ilvl w:val="0"/>
                <w:numId w:val="19"/>
              </w:numPr>
              <w:spacing w:line="360" w:lineRule="auto"/>
              <w:contextualSpacing w:val="0"/>
              <w:rPr>
                <w:rFonts w:ascii="Arial" w:hAnsi="Arial" w:cs="Arial"/>
                <w:color w:val="0070C0"/>
                <w:sz w:val="24"/>
              </w:rPr>
            </w:pPr>
            <w:r w:rsidRPr="009806F0">
              <w:rPr>
                <w:rFonts w:ascii="Arial" w:hAnsi="Arial" w:cs="Arial"/>
                <w:color w:val="0070C0"/>
                <w:sz w:val="24"/>
              </w:rPr>
              <w:t>W przypadku, o którym mowa w ust. 2 lit. h), nabywca ma prawo odstąpienia od umowy deweloperskiej albo umowy, po upływie 60 dni od dnia podania do publicznej wiadomości informacji, o których mowa w art. 12 ust. 1 ustawy</w:t>
            </w:r>
          </w:p>
          <w:p w:rsidR="009806F0" w:rsidRPr="009806F0" w:rsidRDefault="009806F0" w:rsidP="009806F0">
            <w:pPr>
              <w:pStyle w:val="Akapitzlist"/>
              <w:numPr>
                <w:ilvl w:val="0"/>
                <w:numId w:val="19"/>
              </w:numPr>
              <w:spacing w:line="360" w:lineRule="auto"/>
              <w:contextualSpacing w:val="0"/>
              <w:rPr>
                <w:rFonts w:ascii="Arial" w:hAnsi="Arial" w:cs="Arial"/>
                <w:color w:val="0070C0"/>
                <w:sz w:val="24"/>
              </w:rPr>
            </w:pPr>
            <w:r w:rsidRPr="009806F0">
              <w:rPr>
                <w:rFonts w:ascii="Arial" w:hAnsi="Arial" w:cs="Arial"/>
                <w:color w:val="0070C0"/>
                <w:sz w:val="24"/>
              </w:rPr>
              <w:t>W przypadku, o którym mowa w ust. 2 lit. l) nabywca ma prawo odstąpienia od umowy deweloperskiej w terminie 30 dni od doręczenia mu przez dewelopera zawiadomienia o wzroście stawki podatku VAT</w:t>
            </w:r>
          </w:p>
          <w:p w:rsidR="009806F0" w:rsidRPr="009806F0" w:rsidRDefault="009806F0" w:rsidP="009806F0">
            <w:pPr>
              <w:pStyle w:val="Akapitzlist"/>
              <w:numPr>
                <w:ilvl w:val="0"/>
                <w:numId w:val="19"/>
              </w:numPr>
              <w:spacing w:line="360" w:lineRule="auto"/>
              <w:contextualSpacing w:val="0"/>
              <w:rPr>
                <w:rFonts w:ascii="Arial" w:hAnsi="Arial" w:cs="Arial"/>
                <w:color w:val="0070C0"/>
                <w:sz w:val="24"/>
              </w:rPr>
            </w:pPr>
            <w:r w:rsidRPr="009806F0">
              <w:rPr>
                <w:rFonts w:ascii="Arialk" w:hAnsi="Arialk" w:cs="Noto Serif"/>
                <w:color w:val="0070C0"/>
                <w:sz w:val="24"/>
                <w:shd w:val="clear" w:color="auto" w:fill="FFFFFF"/>
              </w:rPr>
              <w:t>Oświadczenie woli nabywcy o odstąpieniu od umowy deweloperskiej jest skuteczne, jeżeli zawiera zgodę na wykreślenie z księgi wieczystej odpowiednich roszczeń i jest złożone w formie pisemnej z podpisami notarialnie poświadczonymi</w:t>
            </w:r>
          </w:p>
          <w:p w:rsidR="009806F0" w:rsidRPr="009806F0" w:rsidRDefault="009806F0" w:rsidP="009806F0">
            <w:pPr>
              <w:pStyle w:val="Akapitzlist"/>
              <w:numPr>
                <w:ilvl w:val="0"/>
                <w:numId w:val="19"/>
              </w:numPr>
              <w:spacing w:line="360" w:lineRule="auto"/>
              <w:contextualSpacing w:val="0"/>
              <w:rPr>
                <w:rFonts w:ascii="Arial" w:hAnsi="Arial" w:cs="Arial"/>
                <w:color w:val="0070C0"/>
                <w:sz w:val="24"/>
              </w:rPr>
            </w:pPr>
            <w:r w:rsidRPr="009806F0">
              <w:rPr>
                <w:rFonts w:ascii="Arial" w:hAnsi="Arial" w:cs="Arial"/>
                <w:color w:val="0070C0"/>
                <w:sz w:val="24"/>
              </w:rPr>
              <w:t xml:space="preserve"> W przypadku odst</w:t>
            </w:r>
            <w:r w:rsidRPr="009806F0">
              <w:rPr>
                <w:rFonts w:ascii="Arial" w:eastAsia="Arial Unicode MS" w:hAnsi="Arial" w:cs="Arial"/>
                <w:color w:val="0070C0"/>
                <w:sz w:val="24"/>
              </w:rPr>
              <w:t>ą</w:t>
            </w:r>
            <w:r w:rsidRPr="009806F0">
              <w:rPr>
                <w:rFonts w:ascii="Arial" w:hAnsi="Arial" w:cs="Arial"/>
                <w:color w:val="0070C0"/>
                <w:sz w:val="24"/>
              </w:rPr>
              <w:t>pienia przez NABYWC</w:t>
            </w:r>
            <w:r w:rsidRPr="009806F0">
              <w:rPr>
                <w:rFonts w:ascii="Arial" w:eastAsia="Arial Unicode MS" w:hAnsi="Arial" w:cs="Arial"/>
                <w:color w:val="0070C0"/>
                <w:sz w:val="24"/>
              </w:rPr>
              <w:t>Ę</w:t>
            </w:r>
            <w:r w:rsidRPr="009806F0">
              <w:rPr>
                <w:rFonts w:ascii="Arial" w:hAnsi="Arial" w:cs="Arial"/>
                <w:color w:val="0070C0"/>
                <w:sz w:val="24"/>
              </w:rPr>
              <w:t xml:space="preserve"> od </w:t>
            </w:r>
            <w:r w:rsidRPr="009806F0">
              <w:rPr>
                <w:rFonts w:ascii="Arial" w:hAnsi="Arial" w:cs="Arial"/>
                <w:color w:val="0070C0"/>
                <w:sz w:val="24"/>
              </w:rPr>
              <w:lastRenderedPageBreak/>
              <w:t xml:space="preserve">niniejszej umowy z przyczyny wskazanej w pkt 2, jak również w przypadku odstąpienia od umowy przez Dewelopera, DEWELOPER </w:t>
            </w:r>
            <w:proofErr w:type="spellStart"/>
            <w:r w:rsidRPr="009806F0">
              <w:rPr>
                <w:rFonts w:ascii="Arial" w:hAnsi="Arial" w:cs="Arial"/>
                <w:color w:val="0070C0"/>
                <w:sz w:val="24"/>
              </w:rPr>
              <w:t>zwr</w:t>
            </w:r>
            <w:proofErr w:type="spellEnd"/>
            <w:r w:rsidRPr="009806F0">
              <w:rPr>
                <w:rFonts w:ascii="Arial" w:hAnsi="Arial" w:cs="Arial"/>
                <w:color w:val="0070C0"/>
                <w:sz w:val="24"/>
                <w:lang w:val="es-ES_tradnl"/>
              </w:rPr>
              <w:t>ó</w:t>
            </w:r>
            <w:r w:rsidRPr="009806F0">
              <w:rPr>
                <w:rFonts w:ascii="Arial" w:hAnsi="Arial" w:cs="Arial"/>
                <w:color w:val="0070C0"/>
                <w:sz w:val="24"/>
              </w:rPr>
              <w:t>ci NABYWCY dokonane wp</w:t>
            </w:r>
            <w:r w:rsidRPr="009806F0">
              <w:rPr>
                <w:rFonts w:ascii="Arial" w:eastAsia="Arial Unicode MS" w:hAnsi="Arial" w:cs="Arial"/>
                <w:color w:val="0070C0"/>
                <w:sz w:val="24"/>
              </w:rPr>
              <w:t>ł</w:t>
            </w:r>
            <w:r w:rsidRPr="009806F0">
              <w:rPr>
                <w:rFonts w:ascii="Arial" w:hAnsi="Arial" w:cs="Arial"/>
                <w:color w:val="0070C0"/>
                <w:sz w:val="24"/>
              </w:rPr>
              <w:t>aty w terminie 14 dni od dnia otrzymania o</w:t>
            </w:r>
            <w:r w:rsidRPr="009806F0">
              <w:rPr>
                <w:rFonts w:ascii="Arial" w:eastAsia="Arial Unicode MS" w:hAnsi="Arial" w:cs="Arial"/>
                <w:color w:val="0070C0"/>
                <w:sz w:val="24"/>
              </w:rPr>
              <w:t>ś</w:t>
            </w:r>
            <w:r w:rsidRPr="009806F0">
              <w:rPr>
                <w:rFonts w:ascii="Arial" w:hAnsi="Arial" w:cs="Arial"/>
                <w:color w:val="0070C0"/>
                <w:sz w:val="24"/>
              </w:rPr>
              <w:t>wiadczenia NABYWCY o odst</w:t>
            </w:r>
            <w:r w:rsidRPr="009806F0">
              <w:rPr>
                <w:rFonts w:ascii="Arial" w:eastAsia="Arial Unicode MS" w:hAnsi="Arial" w:cs="Arial"/>
                <w:color w:val="0070C0"/>
                <w:sz w:val="24"/>
              </w:rPr>
              <w:t>ą</w:t>
            </w:r>
            <w:r w:rsidRPr="009806F0">
              <w:rPr>
                <w:rFonts w:ascii="Arial" w:hAnsi="Arial" w:cs="Arial"/>
                <w:color w:val="0070C0"/>
                <w:sz w:val="24"/>
              </w:rPr>
              <w:t>pieniu od umowy wraz z  o</w:t>
            </w:r>
            <w:r w:rsidRPr="009806F0">
              <w:rPr>
                <w:rFonts w:ascii="Arial" w:eastAsia="Arial Unicode MS" w:hAnsi="Arial" w:cs="Arial"/>
                <w:color w:val="0070C0"/>
                <w:sz w:val="24"/>
              </w:rPr>
              <w:t>ś</w:t>
            </w:r>
            <w:r w:rsidRPr="009806F0">
              <w:rPr>
                <w:rFonts w:ascii="Arial" w:hAnsi="Arial" w:cs="Arial"/>
                <w:color w:val="0070C0"/>
                <w:sz w:val="24"/>
              </w:rPr>
              <w:t>wiadczeniem w formie pisemnej z podpisem notarialnie po</w:t>
            </w:r>
            <w:r w:rsidRPr="009806F0">
              <w:rPr>
                <w:rFonts w:ascii="Arial" w:eastAsia="Arial Unicode MS" w:hAnsi="Arial" w:cs="Arial"/>
                <w:color w:val="0070C0"/>
                <w:sz w:val="24"/>
              </w:rPr>
              <w:t>ś</w:t>
            </w:r>
            <w:r w:rsidRPr="009806F0">
              <w:rPr>
                <w:rFonts w:ascii="Arial" w:hAnsi="Arial" w:cs="Arial"/>
                <w:color w:val="0070C0"/>
                <w:sz w:val="24"/>
              </w:rPr>
              <w:t>wiadczonym, zawieraj</w:t>
            </w:r>
            <w:r w:rsidRPr="009806F0">
              <w:rPr>
                <w:rFonts w:ascii="Arial" w:eastAsia="Arial Unicode MS" w:hAnsi="Arial" w:cs="Arial"/>
                <w:color w:val="0070C0"/>
                <w:sz w:val="24"/>
              </w:rPr>
              <w:t>ą</w:t>
            </w:r>
            <w:r w:rsidRPr="009806F0">
              <w:rPr>
                <w:rFonts w:ascii="Arial" w:hAnsi="Arial" w:cs="Arial"/>
                <w:color w:val="0070C0"/>
                <w:sz w:val="24"/>
              </w:rPr>
              <w:t>cego zgod</w:t>
            </w:r>
            <w:r w:rsidRPr="009806F0">
              <w:rPr>
                <w:rFonts w:ascii="Arial" w:eastAsia="Arial Unicode MS" w:hAnsi="Arial" w:cs="Arial"/>
                <w:color w:val="0070C0"/>
                <w:sz w:val="24"/>
              </w:rPr>
              <w:t>ę</w:t>
            </w:r>
            <w:r w:rsidRPr="009806F0">
              <w:rPr>
                <w:rFonts w:ascii="Arial" w:hAnsi="Arial" w:cs="Arial"/>
                <w:color w:val="0070C0"/>
                <w:sz w:val="24"/>
              </w:rPr>
              <w:t xml:space="preserve"> na wykre</w:t>
            </w:r>
            <w:r w:rsidRPr="009806F0">
              <w:rPr>
                <w:rFonts w:ascii="Arial" w:eastAsia="Arial Unicode MS" w:hAnsi="Arial" w:cs="Arial"/>
                <w:color w:val="0070C0"/>
                <w:sz w:val="24"/>
              </w:rPr>
              <w:t>ś</w:t>
            </w:r>
            <w:r w:rsidRPr="009806F0">
              <w:rPr>
                <w:rFonts w:ascii="Arial" w:hAnsi="Arial" w:cs="Arial"/>
                <w:color w:val="0070C0"/>
                <w:sz w:val="24"/>
              </w:rPr>
              <w:t>lenie roszczenia o zawarcie umowy sprzeda</w:t>
            </w:r>
            <w:r w:rsidRPr="009806F0">
              <w:rPr>
                <w:rFonts w:ascii="Arial" w:eastAsia="Arial Unicode MS" w:hAnsi="Arial" w:cs="Arial"/>
                <w:color w:val="0070C0"/>
                <w:sz w:val="24"/>
              </w:rPr>
              <w:t>ż</w:t>
            </w:r>
            <w:r w:rsidRPr="009806F0">
              <w:rPr>
                <w:rFonts w:ascii="Arial" w:hAnsi="Arial" w:cs="Arial"/>
                <w:color w:val="0070C0"/>
                <w:sz w:val="24"/>
              </w:rPr>
              <w:t>y z dzia</w:t>
            </w:r>
            <w:r w:rsidRPr="009806F0">
              <w:rPr>
                <w:rFonts w:ascii="Arial" w:eastAsia="Arial Unicode MS" w:hAnsi="Arial" w:cs="Arial"/>
                <w:color w:val="0070C0"/>
                <w:sz w:val="24"/>
              </w:rPr>
              <w:t>ł</w:t>
            </w:r>
            <w:r w:rsidRPr="009806F0">
              <w:rPr>
                <w:rFonts w:ascii="Arial" w:hAnsi="Arial" w:cs="Arial"/>
                <w:color w:val="0070C0"/>
                <w:sz w:val="24"/>
              </w:rPr>
              <w:t>u III ksi</w:t>
            </w:r>
            <w:r w:rsidRPr="009806F0">
              <w:rPr>
                <w:rFonts w:ascii="Arial" w:eastAsia="Arial Unicode MS" w:hAnsi="Arial" w:cs="Arial"/>
                <w:color w:val="0070C0"/>
                <w:sz w:val="24"/>
              </w:rPr>
              <w:t>ę</w:t>
            </w:r>
            <w:r w:rsidRPr="009806F0">
              <w:rPr>
                <w:rFonts w:ascii="Arial" w:hAnsi="Arial" w:cs="Arial"/>
                <w:color w:val="0070C0"/>
                <w:sz w:val="24"/>
              </w:rPr>
              <w:t xml:space="preserve">gi wieczystej numer </w:t>
            </w:r>
            <w:r w:rsidRPr="009806F0">
              <w:rPr>
                <w:rFonts w:ascii="Arial" w:hAnsi="Arial" w:cs="Arial"/>
                <w:b/>
                <w:bCs/>
                <w:color w:val="0070C0"/>
                <w:sz w:val="24"/>
              </w:rPr>
              <w:t xml:space="preserve">KZ1A/00097238/1 </w:t>
            </w:r>
            <w:r w:rsidRPr="009806F0">
              <w:rPr>
                <w:rFonts w:ascii="Arial" w:hAnsi="Arial" w:cs="Arial"/>
                <w:color w:val="0070C0"/>
                <w:sz w:val="24"/>
              </w:rPr>
              <w:t>lub innej ksi</w:t>
            </w:r>
            <w:r w:rsidRPr="009806F0">
              <w:rPr>
                <w:rFonts w:ascii="Arial" w:eastAsia="Arial Unicode MS" w:hAnsi="Arial" w:cs="Arial"/>
                <w:color w:val="0070C0"/>
                <w:sz w:val="24"/>
              </w:rPr>
              <w:t>ę</w:t>
            </w:r>
            <w:r w:rsidRPr="009806F0">
              <w:rPr>
                <w:rFonts w:ascii="Arial" w:hAnsi="Arial" w:cs="Arial"/>
                <w:color w:val="0070C0"/>
                <w:sz w:val="24"/>
              </w:rPr>
              <w:t>gi wieczystej lub ksi</w:t>
            </w:r>
            <w:r w:rsidRPr="009806F0">
              <w:rPr>
                <w:rFonts w:ascii="Arial" w:eastAsia="Arial Unicode MS" w:hAnsi="Arial" w:cs="Arial"/>
                <w:color w:val="0070C0"/>
                <w:sz w:val="24"/>
              </w:rPr>
              <w:t>ą</w:t>
            </w:r>
            <w:r w:rsidRPr="009806F0">
              <w:rPr>
                <w:rFonts w:ascii="Arial" w:hAnsi="Arial" w:cs="Arial"/>
                <w:color w:val="0070C0"/>
                <w:sz w:val="24"/>
              </w:rPr>
              <w:t>g wieczystych, je</w:t>
            </w:r>
            <w:r w:rsidRPr="009806F0">
              <w:rPr>
                <w:rFonts w:ascii="Arial" w:eastAsia="Arial Unicode MS" w:hAnsi="Arial" w:cs="Arial"/>
                <w:color w:val="0070C0"/>
                <w:sz w:val="24"/>
              </w:rPr>
              <w:t>ż</w:t>
            </w:r>
            <w:r w:rsidRPr="009806F0">
              <w:rPr>
                <w:rFonts w:ascii="Arial" w:hAnsi="Arial" w:cs="Arial"/>
                <w:color w:val="0070C0"/>
                <w:sz w:val="24"/>
              </w:rPr>
              <w:t>eli odr</w:t>
            </w:r>
            <w:r w:rsidRPr="009806F0">
              <w:rPr>
                <w:rFonts w:ascii="Arial" w:eastAsia="Arial Unicode MS" w:hAnsi="Arial" w:cs="Arial"/>
                <w:color w:val="0070C0"/>
                <w:sz w:val="24"/>
              </w:rPr>
              <w:t>ę</w:t>
            </w:r>
            <w:r w:rsidRPr="009806F0">
              <w:rPr>
                <w:rFonts w:ascii="Arial" w:hAnsi="Arial" w:cs="Arial"/>
                <w:color w:val="0070C0"/>
                <w:sz w:val="24"/>
              </w:rPr>
              <w:t>bna ksi</w:t>
            </w:r>
            <w:r w:rsidRPr="009806F0">
              <w:rPr>
                <w:rFonts w:ascii="Arial" w:eastAsia="Arial Unicode MS" w:hAnsi="Arial" w:cs="Arial"/>
                <w:color w:val="0070C0"/>
                <w:sz w:val="24"/>
              </w:rPr>
              <w:t>ę</w:t>
            </w:r>
            <w:r w:rsidRPr="009806F0">
              <w:rPr>
                <w:rFonts w:ascii="Arial" w:hAnsi="Arial" w:cs="Arial"/>
                <w:color w:val="0070C0"/>
                <w:sz w:val="24"/>
              </w:rPr>
              <w:t>ga lub ksi</w:t>
            </w:r>
            <w:r w:rsidRPr="009806F0">
              <w:rPr>
                <w:rFonts w:ascii="Arial" w:eastAsia="Arial Unicode MS" w:hAnsi="Arial" w:cs="Arial"/>
                <w:color w:val="0070C0"/>
                <w:sz w:val="24"/>
              </w:rPr>
              <w:t>ę</w:t>
            </w:r>
            <w:r w:rsidRPr="009806F0">
              <w:rPr>
                <w:rFonts w:ascii="Arial" w:hAnsi="Arial" w:cs="Arial"/>
                <w:color w:val="0070C0"/>
                <w:sz w:val="24"/>
              </w:rPr>
              <w:t>gi zostan</w:t>
            </w:r>
            <w:r w:rsidRPr="009806F0">
              <w:rPr>
                <w:rFonts w:ascii="Arial" w:eastAsia="Arial Unicode MS" w:hAnsi="Arial" w:cs="Arial"/>
                <w:color w:val="0070C0"/>
                <w:sz w:val="24"/>
              </w:rPr>
              <w:t>ą</w:t>
            </w:r>
            <w:r w:rsidRPr="009806F0">
              <w:rPr>
                <w:rFonts w:ascii="Arial" w:hAnsi="Arial" w:cs="Arial"/>
                <w:color w:val="0070C0"/>
                <w:sz w:val="24"/>
              </w:rPr>
              <w:t xml:space="preserve"> za</w:t>
            </w:r>
            <w:r w:rsidRPr="009806F0">
              <w:rPr>
                <w:rFonts w:ascii="Arial" w:eastAsia="Arial Unicode MS" w:hAnsi="Arial" w:cs="Arial"/>
                <w:color w:val="0070C0"/>
                <w:sz w:val="24"/>
              </w:rPr>
              <w:t>ł</w:t>
            </w:r>
            <w:r w:rsidRPr="009806F0">
              <w:rPr>
                <w:rFonts w:ascii="Arial" w:hAnsi="Arial" w:cs="Arial"/>
                <w:color w:val="0070C0"/>
                <w:sz w:val="24"/>
              </w:rPr>
              <w:t>o</w:t>
            </w:r>
            <w:r w:rsidRPr="009806F0">
              <w:rPr>
                <w:rFonts w:ascii="Arial" w:eastAsia="Arial Unicode MS" w:hAnsi="Arial" w:cs="Arial"/>
                <w:color w:val="0070C0"/>
                <w:sz w:val="24"/>
              </w:rPr>
              <w:t>ż</w:t>
            </w:r>
            <w:r w:rsidRPr="009806F0">
              <w:rPr>
                <w:rFonts w:ascii="Arial" w:hAnsi="Arial" w:cs="Arial"/>
                <w:color w:val="0070C0"/>
                <w:sz w:val="24"/>
              </w:rPr>
              <w:t>one dla dzia</w:t>
            </w:r>
            <w:r w:rsidRPr="009806F0">
              <w:rPr>
                <w:rFonts w:ascii="Arial" w:eastAsia="Arial Unicode MS" w:hAnsi="Arial" w:cs="Arial"/>
                <w:color w:val="0070C0"/>
                <w:sz w:val="24"/>
              </w:rPr>
              <w:t>ł</w:t>
            </w:r>
            <w:r w:rsidRPr="009806F0">
              <w:rPr>
                <w:rFonts w:ascii="Arial" w:hAnsi="Arial" w:cs="Arial"/>
                <w:color w:val="0070C0"/>
                <w:sz w:val="24"/>
              </w:rPr>
              <w:t>ki lub dzia</w:t>
            </w:r>
            <w:r w:rsidRPr="009806F0">
              <w:rPr>
                <w:rFonts w:ascii="Arial" w:eastAsia="Arial Unicode MS" w:hAnsi="Arial" w:cs="Arial"/>
                <w:color w:val="0070C0"/>
                <w:sz w:val="24"/>
              </w:rPr>
              <w:t>ł</w:t>
            </w:r>
            <w:r w:rsidRPr="009806F0">
              <w:rPr>
                <w:rFonts w:ascii="Arial" w:hAnsi="Arial" w:cs="Arial"/>
                <w:color w:val="0070C0"/>
                <w:sz w:val="24"/>
              </w:rPr>
              <w:t xml:space="preserve">ek na </w:t>
            </w:r>
            <w:proofErr w:type="spellStart"/>
            <w:r w:rsidRPr="009806F0">
              <w:rPr>
                <w:rFonts w:ascii="Arial" w:hAnsi="Arial" w:cs="Arial"/>
                <w:color w:val="0070C0"/>
                <w:sz w:val="24"/>
              </w:rPr>
              <w:t>kt</w:t>
            </w:r>
            <w:proofErr w:type="spellEnd"/>
            <w:r w:rsidRPr="009806F0">
              <w:rPr>
                <w:rFonts w:ascii="Arial" w:hAnsi="Arial" w:cs="Arial"/>
                <w:color w:val="0070C0"/>
                <w:sz w:val="24"/>
                <w:lang w:val="es-ES_tradnl"/>
              </w:rPr>
              <w:t>ó</w:t>
            </w:r>
            <w:proofErr w:type="spellStart"/>
            <w:r w:rsidRPr="009806F0">
              <w:rPr>
                <w:rFonts w:ascii="Arial" w:hAnsi="Arial" w:cs="Arial"/>
                <w:color w:val="0070C0"/>
                <w:sz w:val="24"/>
              </w:rPr>
              <w:t>rych</w:t>
            </w:r>
            <w:proofErr w:type="spellEnd"/>
            <w:r w:rsidRPr="009806F0">
              <w:rPr>
                <w:rFonts w:ascii="Arial" w:hAnsi="Arial" w:cs="Arial"/>
                <w:color w:val="0070C0"/>
                <w:sz w:val="24"/>
              </w:rPr>
              <w:t xml:space="preserve"> posadowiony b</w:t>
            </w:r>
            <w:r w:rsidRPr="009806F0">
              <w:rPr>
                <w:rFonts w:ascii="Arial" w:eastAsia="Arial Unicode MS" w:hAnsi="Arial" w:cs="Arial"/>
                <w:color w:val="0070C0"/>
                <w:sz w:val="24"/>
              </w:rPr>
              <w:t>ę</w:t>
            </w:r>
            <w:r w:rsidRPr="009806F0">
              <w:rPr>
                <w:rFonts w:ascii="Arial" w:hAnsi="Arial" w:cs="Arial"/>
                <w:color w:val="0070C0"/>
                <w:sz w:val="24"/>
              </w:rPr>
              <w:t xml:space="preserve">dzie budynek, w </w:t>
            </w:r>
            <w:proofErr w:type="spellStart"/>
            <w:r w:rsidRPr="009806F0">
              <w:rPr>
                <w:rFonts w:ascii="Arial" w:hAnsi="Arial" w:cs="Arial"/>
                <w:color w:val="0070C0"/>
                <w:sz w:val="24"/>
              </w:rPr>
              <w:t>kt</w:t>
            </w:r>
            <w:proofErr w:type="spellEnd"/>
            <w:r w:rsidRPr="009806F0">
              <w:rPr>
                <w:rFonts w:ascii="Arial" w:hAnsi="Arial" w:cs="Arial"/>
                <w:color w:val="0070C0"/>
                <w:sz w:val="24"/>
                <w:lang w:val="es-ES_tradnl"/>
              </w:rPr>
              <w:t>ó</w:t>
            </w:r>
            <w:r w:rsidRPr="009806F0">
              <w:rPr>
                <w:rFonts w:ascii="Arial" w:hAnsi="Arial" w:cs="Arial"/>
                <w:color w:val="0070C0"/>
                <w:sz w:val="24"/>
              </w:rPr>
              <w:t>rym znajdowa</w:t>
            </w:r>
            <w:r w:rsidRPr="009806F0">
              <w:rPr>
                <w:rFonts w:ascii="Arial" w:eastAsia="Arial Unicode MS" w:hAnsi="Arial" w:cs="Arial"/>
                <w:color w:val="0070C0"/>
                <w:sz w:val="24"/>
              </w:rPr>
              <w:t>ć</w:t>
            </w:r>
            <w:r w:rsidRPr="009806F0">
              <w:rPr>
                <w:rFonts w:ascii="Arial" w:hAnsi="Arial" w:cs="Arial"/>
                <w:color w:val="0070C0"/>
                <w:sz w:val="24"/>
              </w:rPr>
              <w:t xml:space="preserve"> ma si</w:t>
            </w:r>
            <w:r w:rsidRPr="009806F0">
              <w:rPr>
                <w:rFonts w:ascii="Arial" w:eastAsia="Arial Unicode MS" w:hAnsi="Arial" w:cs="Arial"/>
                <w:color w:val="0070C0"/>
                <w:sz w:val="24"/>
              </w:rPr>
              <w:t>ę</w:t>
            </w:r>
            <w:r w:rsidRPr="009806F0">
              <w:rPr>
                <w:rFonts w:ascii="Arial" w:hAnsi="Arial" w:cs="Arial"/>
                <w:color w:val="0070C0"/>
                <w:sz w:val="24"/>
              </w:rPr>
              <w:t xml:space="preserve"> dany lokal—</w:t>
            </w:r>
          </w:p>
          <w:p w:rsidR="009806F0" w:rsidRPr="009806F0" w:rsidRDefault="009806F0" w:rsidP="009806F0">
            <w:pPr>
              <w:pStyle w:val="Akapitzlist"/>
              <w:numPr>
                <w:ilvl w:val="0"/>
                <w:numId w:val="19"/>
              </w:numPr>
              <w:spacing w:line="360" w:lineRule="auto"/>
              <w:contextualSpacing w:val="0"/>
              <w:rPr>
                <w:rFonts w:ascii="Arial" w:hAnsi="Arial" w:cs="Arial"/>
                <w:color w:val="0070C0"/>
                <w:sz w:val="24"/>
              </w:rPr>
            </w:pPr>
            <w:r w:rsidRPr="009806F0">
              <w:rPr>
                <w:rFonts w:ascii="Arial" w:hAnsi="Arial" w:cs="Arial"/>
                <w:color w:val="0070C0"/>
                <w:sz w:val="24"/>
              </w:rPr>
              <w:t xml:space="preserve">W przypadku, gdy </w:t>
            </w:r>
            <w:proofErr w:type="spellStart"/>
            <w:r w:rsidRPr="009806F0">
              <w:rPr>
                <w:rFonts w:ascii="Arial" w:hAnsi="Arial" w:cs="Arial"/>
                <w:color w:val="0070C0"/>
                <w:sz w:val="24"/>
              </w:rPr>
              <w:t>r</w:t>
            </w:r>
            <w:proofErr w:type="spellEnd"/>
            <w:r w:rsidRPr="009806F0">
              <w:rPr>
                <w:rFonts w:ascii="Arial" w:hAnsi="Arial" w:cs="Arial"/>
                <w:color w:val="0070C0"/>
                <w:sz w:val="24"/>
                <w:lang w:val="es-ES_tradnl"/>
              </w:rPr>
              <w:t>ó</w:t>
            </w:r>
            <w:proofErr w:type="spellStart"/>
            <w:r w:rsidRPr="009806F0">
              <w:rPr>
                <w:rFonts w:ascii="Arial" w:eastAsia="Arial Unicode MS" w:hAnsi="Arial" w:cs="Arial"/>
                <w:color w:val="0070C0"/>
                <w:sz w:val="24"/>
              </w:rPr>
              <w:t>ż</w:t>
            </w:r>
            <w:r w:rsidRPr="009806F0">
              <w:rPr>
                <w:rFonts w:ascii="Arial" w:hAnsi="Arial" w:cs="Arial"/>
                <w:color w:val="0070C0"/>
                <w:sz w:val="24"/>
              </w:rPr>
              <w:t>nice</w:t>
            </w:r>
            <w:proofErr w:type="spellEnd"/>
            <w:r w:rsidRPr="009806F0">
              <w:rPr>
                <w:rFonts w:ascii="Arial" w:hAnsi="Arial" w:cs="Arial"/>
                <w:color w:val="0070C0"/>
                <w:sz w:val="24"/>
              </w:rPr>
              <w:t xml:space="preserve"> obmiarowe przedmiotu umowy wynikaj</w:t>
            </w:r>
            <w:r w:rsidRPr="009806F0">
              <w:rPr>
                <w:rFonts w:ascii="Arial" w:eastAsia="Arial Unicode MS" w:hAnsi="Arial" w:cs="Arial"/>
                <w:color w:val="0070C0"/>
                <w:sz w:val="24"/>
              </w:rPr>
              <w:t>ą</w:t>
            </w:r>
            <w:r w:rsidRPr="009806F0">
              <w:rPr>
                <w:rFonts w:ascii="Arial" w:hAnsi="Arial" w:cs="Arial"/>
                <w:color w:val="0070C0"/>
                <w:sz w:val="24"/>
              </w:rPr>
              <w:t>ce z dokumentacji powykonawczej spowoduj</w:t>
            </w:r>
            <w:r w:rsidRPr="009806F0">
              <w:rPr>
                <w:rFonts w:ascii="Arial" w:eastAsia="Arial Unicode MS" w:hAnsi="Arial" w:cs="Arial"/>
                <w:color w:val="0070C0"/>
                <w:sz w:val="24"/>
              </w:rPr>
              <w:t>ą</w:t>
            </w:r>
            <w:r w:rsidRPr="009806F0">
              <w:rPr>
                <w:rFonts w:ascii="Arial" w:hAnsi="Arial" w:cs="Arial"/>
                <w:color w:val="0070C0"/>
                <w:sz w:val="24"/>
              </w:rPr>
              <w:t xml:space="preserve"> przekroczenie o 3% warto</w:t>
            </w:r>
            <w:r w:rsidRPr="009806F0">
              <w:rPr>
                <w:rFonts w:ascii="Arial" w:eastAsia="Arial Unicode MS" w:hAnsi="Arial" w:cs="Arial"/>
                <w:color w:val="0070C0"/>
                <w:sz w:val="24"/>
              </w:rPr>
              <w:t>ś</w:t>
            </w:r>
            <w:r w:rsidRPr="009806F0">
              <w:rPr>
                <w:rFonts w:ascii="Arial" w:hAnsi="Arial" w:cs="Arial"/>
                <w:color w:val="0070C0"/>
                <w:sz w:val="24"/>
              </w:rPr>
              <w:t>ci przedmiotu umowy, NABYWCA ma prawo odst</w:t>
            </w:r>
            <w:r w:rsidRPr="009806F0">
              <w:rPr>
                <w:rFonts w:ascii="Arial" w:eastAsia="Arial Unicode MS" w:hAnsi="Arial" w:cs="Arial"/>
                <w:color w:val="0070C0"/>
                <w:sz w:val="24"/>
              </w:rPr>
              <w:t>ą</w:t>
            </w:r>
            <w:r w:rsidRPr="009806F0">
              <w:rPr>
                <w:rFonts w:ascii="Arial" w:hAnsi="Arial" w:cs="Arial"/>
                <w:color w:val="0070C0"/>
                <w:sz w:val="24"/>
              </w:rPr>
              <w:t xml:space="preserve">pienia od umowy w terminie 14 dni od dnia otrzymania od DEWELOPERA informacji o </w:t>
            </w:r>
            <w:proofErr w:type="spellStart"/>
            <w:r w:rsidRPr="009806F0">
              <w:rPr>
                <w:rFonts w:ascii="Arial" w:hAnsi="Arial" w:cs="Arial"/>
                <w:color w:val="0070C0"/>
                <w:sz w:val="24"/>
              </w:rPr>
              <w:t>r</w:t>
            </w:r>
            <w:proofErr w:type="spellEnd"/>
            <w:r w:rsidRPr="009806F0">
              <w:rPr>
                <w:rFonts w:ascii="Arial" w:hAnsi="Arial" w:cs="Arial"/>
                <w:color w:val="0070C0"/>
                <w:sz w:val="24"/>
                <w:lang w:val="es-ES_tradnl"/>
              </w:rPr>
              <w:t>ó</w:t>
            </w:r>
            <w:proofErr w:type="spellStart"/>
            <w:r w:rsidRPr="009806F0">
              <w:rPr>
                <w:rFonts w:ascii="Arial" w:eastAsia="Arial Unicode MS" w:hAnsi="Arial" w:cs="Arial"/>
                <w:color w:val="0070C0"/>
                <w:sz w:val="24"/>
              </w:rPr>
              <w:t>ż</w:t>
            </w:r>
            <w:r w:rsidRPr="009806F0">
              <w:rPr>
                <w:rFonts w:ascii="Arial" w:hAnsi="Arial" w:cs="Arial"/>
                <w:color w:val="0070C0"/>
                <w:sz w:val="24"/>
              </w:rPr>
              <w:t>nicy</w:t>
            </w:r>
            <w:proofErr w:type="spellEnd"/>
            <w:r w:rsidRPr="009806F0">
              <w:rPr>
                <w:rFonts w:ascii="Arial" w:hAnsi="Arial" w:cs="Arial"/>
                <w:color w:val="0070C0"/>
                <w:sz w:val="24"/>
              </w:rPr>
              <w:t xml:space="preserve"> w metra</w:t>
            </w:r>
            <w:r w:rsidRPr="009806F0">
              <w:rPr>
                <w:rFonts w:ascii="Arial" w:eastAsia="Arial Unicode MS" w:hAnsi="Arial" w:cs="Arial"/>
                <w:color w:val="0070C0"/>
                <w:sz w:val="24"/>
              </w:rPr>
              <w:t>ż</w:t>
            </w:r>
            <w:r w:rsidRPr="009806F0">
              <w:rPr>
                <w:rFonts w:ascii="Arial" w:hAnsi="Arial" w:cs="Arial"/>
                <w:color w:val="0070C0"/>
                <w:sz w:val="24"/>
              </w:rPr>
              <w:t>u, a DEWELOPER zobowi</w:t>
            </w:r>
            <w:r w:rsidRPr="009806F0">
              <w:rPr>
                <w:rFonts w:ascii="Arial" w:eastAsia="Arial Unicode MS" w:hAnsi="Arial" w:cs="Arial"/>
                <w:color w:val="0070C0"/>
                <w:sz w:val="24"/>
              </w:rPr>
              <w:t>ą</w:t>
            </w:r>
            <w:r w:rsidRPr="009806F0">
              <w:rPr>
                <w:rFonts w:ascii="Arial" w:hAnsi="Arial" w:cs="Arial"/>
                <w:color w:val="0070C0"/>
                <w:sz w:val="24"/>
              </w:rPr>
              <w:t>zuje si</w:t>
            </w:r>
            <w:r w:rsidRPr="009806F0">
              <w:rPr>
                <w:rFonts w:ascii="Arial" w:eastAsia="Arial Unicode MS" w:hAnsi="Arial" w:cs="Arial"/>
                <w:color w:val="0070C0"/>
                <w:sz w:val="24"/>
              </w:rPr>
              <w:t>ę</w:t>
            </w:r>
            <w:r w:rsidRPr="009806F0">
              <w:rPr>
                <w:rFonts w:ascii="Arial" w:hAnsi="Arial" w:cs="Arial"/>
                <w:color w:val="0070C0"/>
                <w:sz w:val="24"/>
              </w:rPr>
              <w:t xml:space="preserve"> </w:t>
            </w:r>
            <w:proofErr w:type="spellStart"/>
            <w:r w:rsidRPr="009806F0">
              <w:rPr>
                <w:rFonts w:ascii="Arial" w:hAnsi="Arial" w:cs="Arial"/>
                <w:color w:val="0070C0"/>
                <w:sz w:val="24"/>
              </w:rPr>
              <w:t>zwr</w:t>
            </w:r>
            <w:proofErr w:type="spellEnd"/>
            <w:r w:rsidRPr="009806F0">
              <w:rPr>
                <w:rFonts w:ascii="Arial" w:hAnsi="Arial" w:cs="Arial"/>
                <w:color w:val="0070C0"/>
                <w:sz w:val="24"/>
                <w:lang w:val="es-ES_tradnl"/>
              </w:rPr>
              <w:t>ó</w:t>
            </w:r>
            <w:proofErr w:type="spellStart"/>
            <w:r w:rsidRPr="009806F0">
              <w:rPr>
                <w:rFonts w:ascii="Arial" w:hAnsi="Arial" w:cs="Arial"/>
                <w:color w:val="0070C0"/>
                <w:sz w:val="24"/>
              </w:rPr>
              <w:t>ci</w:t>
            </w:r>
            <w:r w:rsidRPr="009806F0">
              <w:rPr>
                <w:rFonts w:ascii="Arial" w:eastAsia="Arial Unicode MS" w:hAnsi="Arial" w:cs="Arial"/>
                <w:color w:val="0070C0"/>
                <w:sz w:val="24"/>
              </w:rPr>
              <w:t>ć</w:t>
            </w:r>
            <w:proofErr w:type="spellEnd"/>
            <w:r w:rsidRPr="009806F0">
              <w:rPr>
                <w:rFonts w:ascii="Arial" w:hAnsi="Arial" w:cs="Arial"/>
                <w:color w:val="0070C0"/>
                <w:sz w:val="24"/>
              </w:rPr>
              <w:t xml:space="preserve"> wp</w:t>
            </w:r>
            <w:r w:rsidRPr="009806F0">
              <w:rPr>
                <w:rFonts w:ascii="Arial" w:eastAsia="Arial Unicode MS" w:hAnsi="Arial" w:cs="Arial"/>
                <w:color w:val="0070C0"/>
                <w:sz w:val="24"/>
              </w:rPr>
              <w:t>ł</w:t>
            </w:r>
            <w:r w:rsidRPr="009806F0">
              <w:rPr>
                <w:rFonts w:ascii="Arial" w:hAnsi="Arial" w:cs="Arial"/>
                <w:color w:val="0070C0"/>
                <w:sz w:val="24"/>
              </w:rPr>
              <w:t>acone kwoty w warto</w:t>
            </w:r>
            <w:r w:rsidRPr="009806F0">
              <w:rPr>
                <w:rFonts w:ascii="Arial" w:eastAsia="Arial Unicode MS" w:hAnsi="Arial" w:cs="Arial"/>
                <w:color w:val="0070C0"/>
                <w:sz w:val="24"/>
              </w:rPr>
              <w:t>ś</w:t>
            </w:r>
            <w:r w:rsidRPr="009806F0">
              <w:rPr>
                <w:rFonts w:ascii="Arial" w:hAnsi="Arial" w:cs="Arial"/>
                <w:color w:val="0070C0"/>
                <w:sz w:val="24"/>
              </w:rPr>
              <w:t>ci nominalnej w terminie 30 dni od daty otrzymania przez DEWELOPERA o</w:t>
            </w:r>
            <w:r w:rsidRPr="009806F0">
              <w:rPr>
                <w:rFonts w:ascii="Arial" w:eastAsia="Arial Unicode MS" w:hAnsi="Arial" w:cs="Arial"/>
                <w:color w:val="0070C0"/>
                <w:sz w:val="24"/>
              </w:rPr>
              <w:t>ś</w:t>
            </w:r>
            <w:r w:rsidRPr="009806F0">
              <w:rPr>
                <w:rFonts w:ascii="Arial" w:hAnsi="Arial" w:cs="Arial"/>
                <w:color w:val="0070C0"/>
                <w:sz w:val="24"/>
              </w:rPr>
              <w:t>wiadczenia o odst</w:t>
            </w:r>
            <w:r w:rsidRPr="009806F0">
              <w:rPr>
                <w:rFonts w:ascii="Arial" w:eastAsia="Arial Unicode MS" w:hAnsi="Arial" w:cs="Arial"/>
                <w:color w:val="0070C0"/>
                <w:sz w:val="24"/>
              </w:rPr>
              <w:t>ą</w:t>
            </w:r>
            <w:r w:rsidRPr="009806F0">
              <w:rPr>
                <w:rFonts w:ascii="Arial" w:hAnsi="Arial" w:cs="Arial"/>
                <w:color w:val="0070C0"/>
                <w:sz w:val="24"/>
              </w:rPr>
              <w:t>pieniu od umowy deweloperskiej, wraz ze zgod</w:t>
            </w:r>
            <w:r w:rsidRPr="009806F0">
              <w:rPr>
                <w:rFonts w:ascii="Arial" w:eastAsia="Arial Unicode MS" w:hAnsi="Arial" w:cs="Arial"/>
                <w:color w:val="0070C0"/>
                <w:sz w:val="24"/>
              </w:rPr>
              <w:t>ą</w:t>
            </w:r>
            <w:r w:rsidRPr="009806F0">
              <w:rPr>
                <w:rFonts w:ascii="Arial" w:hAnsi="Arial" w:cs="Arial"/>
                <w:color w:val="0070C0"/>
                <w:sz w:val="24"/>
              </w:rPr>
              <w:t xml:space="preserve"> NABYWCY na wykre</w:t>
            </w:r>
            <w:r w:rsidRPr="009806F0">
              <w:rPr>
                <w:rFonts w:ascii="Arial" w:eastAsia="Arial Unicode MS" w:hAnsi="Arial" w:cs="Arial"/>
                <w:color w:val="0070C0"/>
                <w:sz w:val="24"/>
              </w:rPr>
              <w:t>ś</w:t>
            </w:r>
            <w:r w:rsidRPr="009806F0">
              <w:rPr>
                <w:rFonts w:ascii="Arial" w:hAnsi="Arial" w:cs="Arial"/>
                <w:color w:val="0070C0"/>
                <w:sz w:val="24"/>
              </w:rPr>
              <w:t>lenie roszczenia o przeniesienie w</w:t>
            </w:r>
            <w:r w:rsidRPr="009806F0">
              <w:rPr>
                <w:rFonts w:ascii="Arial" w:eastAsia="Arial Unicode MS" w:hAnsi="Arial" w:cs="Arial"/>
                <w:color w:val="0070C0"/>
                <w:sz w:val="24"/>
              </w:rPr>
              <w:t>ł</w:t>
            </w:r>
            <w:r w:rsidRPr="009806F0">
              <w:rPr>
                <w:rFonts w:ascii="Arial" w:hAnsi="Arial" w:cs="Arial"/>
                <w:color w:val="0070C0"/>
                <w:sz w:val="24"/>
              </w:rPr>
              <w:t>asno</w:t>
            </w:r>
            <w:r w:rsidRPr="009806F0">
              <w:rPr>
                <w:rFonts w:ascii="Arial" w:eastAsia="Arial Unicode MS" w:hAnsi="Arial" w:cs="Arial"/>
                <w:color w:val="0070C0"/>
                <w:sz w:val="24"/>
              </w:rPr>
              <w:t>ś</w:t>
            </w:r>
            <w:r w:rsidRPr="009806F0">
              <w:rPr>
                <w:rFonts w:ascii="Arial" w:hAnsi="Arial" w:cs="Arial"/>
                <w:color w:val="0070C0"/>
                <w:sz w:val="24"/>
              </w:rPr>
              <w:t>ci nieruchomo</w:t>
            </w:r>
            <w:r w:rsidRPr="009806F0">
              <w:rPr>
                <w:rFonts w:ascii="Arial" w:eastAsia="Arial Unicode MS" w:hAnsi="Arial" w:cs="Arial"/>
                <w:color w:val="0070C0"/>
                <w:sz w:val="24"/>
              </w:rPr>
              <w:t>ś</w:t>
            </w:r>
            <w:r w:rsidRPr="009806F0">
              <w:rPr>
                <w:rFonts w:ascii="Arial" w:hAnsi="Arial" w:cs="Arial"/>
                <w:color w:val="0070C0"/>
                <w:sz w:val="24"/>
              </w:rPr>
              <w:t>ci z</w:t>
            </w:r>
            <w:r w:rsidRPr="009806F0">
              <w:rPr>
                <w:rFonts w:ascii="Arial" w:eastAsia="Arial Unicode MS" w:hAnsi="Arial" w:cs="Arial"/>
                <w:color w:val="0070C0"/>
                <w:sz w:val="24"/>
              </w:rPr>
              <w:t>ł</w:t>
            </w:r>
            <w:r w:rsidRPr="009806F0">
              <w:rPr>
                <w:rFonts w:ascii="Arial" w:hAnsi="Arial" w:cs="Arial"/>
                <w:color w:val="0070C0"/>
                <w:sz w:val="24"/>
              </w:rPr>
              <w:t>o</w:t>
            </w:r>
            <w:r w:rsidRPr="009806F0">
              <w:rPr>
                <w:rFonts w:ascii="Arial" w:eastAsia="Arial Unicode MS" w:hAnsi="Arial" w:cs="Arial"/>
                <w:color w:val="0070C0"/>
                <w:sz w:val="24"/>
              </w:rPr>
              <w:t>ż</w:t>
            </w:r>
            <w:r w:rsidRPr="009806F0">
              <w:rPr>
                <w:rFonts w:ascii="Arial" w:hAnsi="Arial" w:cs="Arial"/>
                <w:color w:val="0070C0"/>
                <w:sz w:val="24"/>
              </w:rPr>
              <w:t>one w formie pisemnej z podpisem notarialnie po</w:t>
            </w:r>
            <w:r w:rsidRPr="009806F0">
              <w:rPr>
                <w:rFonts w:ascii="Arial" w:eastAsia="Arial Unicode MS" w:hAnsi="Arial" w:cs="Arial"/>
                <w:color w:val="0070C0"/>
                <w:sz w:val="24"/>
              </w:rPr>
              <w:t>ś</w:t>
            </w:r>
            <w:r w:rsidRPr="009806F0">
              <w:rPr>
                <w:rFonts w:ascii="Arial" w:hAnsi="Arial" w:cs="Arial"/>
                <w:color w:val="0070C0"/>
                <w:sz w:val="24"/>
              </w:rPr>
              <w:t xml:space="preserve">wiadczonym. W przypadku odstąpienia na podstawie art. 43 od umowy deweloperskiej, przez jedną ze stron, bank wypłaca nabywcy przypadające mu środki pieniężne pozostałe na mieszkaniowym rachunku powierniczym w nominalnej wysokości </w:t>
            </w:r>
            <w:r w:rsidRPr="009806F0">
              <w:rPr>
                <w:rFonts w:ascii="Arial" w:hAnsi="Arial" w:cs="Arial"/>
                <w:color w:val="0070C0"/>
                <w:sz w:val="24"/>
              </w:rPr>
              <w:lastRenderedPageBreak/>
              <w:t>niezwłocznie po otrzymaniu oświadczenia o odstąpieniu od tej umowy</w:t>
            </w:r>
            <w:r w:rsidRPr="009806F0">
              <w:rPr>
                <w:color w:val="0070C0"/>
              </w:rPr>
              <w:t xml:space="preserve"> </w:t>
            </w:r>
            <w:r w:rsidRPr="009806F0">
              <w:rPr>
                <w:rFonts w:ascii="Arial" w:hAnsi="Arial" w:cs="Arial"/>
                <w:color w:val="0070C0"/>
                <w:sz w:val="24"/>
              </w:rPr>
              <w:t>oraz dokumentów wymienionych w umowie o prowadzenie otwartego mieszkaniowego rachunku powierniczego. W przypadku rozwiązania umowy deweloperskiej, innego niż na podstawie art. 43, strony przedstawią zgodne oświadczenia woli o sposobie podziału środków pieniężnych zgromadzonych przez nabywcę na mieszkaniowym rachunku powierniczym. Bank wypłaca środki zgromadzone na mieszkaniowym rachunku powierniczym w nominalnej wysokości niezwłocznie po otrzymaniu oświadczeń, o których mowa powyżej oraz dokumentów wymienionych w umowie o prowadzenie otwartego mieszkaniowego rachunku powierniczego.</w:t>
            </w:r>
          </w:p>
          <w:p w:rsidR="009806F0" w:rsidRPr="009806F0" w:rsidRDefault="009806F0" w:rsidP="009806F0">
            <w:pPr>
              <w:pStyle w:val="Akapitzlist"/>
              <w:numPr>
                <w:ilvl w:val="0"/>
                <w:numId w:val="19"/>
              </w:numPr>
              <w:spacing w:line="360" w:lineRule="auto"/>
              <w:contextualSpacing w:val="0"/>
              <w:rPr>
                <w:rFonts w:ascii="Arial" w:hAnsi="Arial" w:cs="Arial"/>
                <w:color w:val="0070C0"/>
                <w:sz w:val="24"/>
              </w:rPr>
            </w:pPr>
            <w:r w:rsidRPr="009806F0">
              <w:rPr>
                <w:rFonts w:ascii="Arial" w:hAnsi="Arial" w:cs="Arial"/>
                <w:color w:val="0070C0"/>
                <w:sz w:val="24"/>
              </w:rPr>
              <w:t>W przypadku odstąpienia Dewelopera od umowy, z winy Kupujących, wskutek niewykonania lub nienależytego wykonania umowy, Nabywca zapłaci Deweloperowi karę w wysokości 5% ceny przedmiotu umowy, o której mowa w §5 ust. 1-2 umowy deweloperskiej.</w:t>
            </w:r>
          </w:p>
          <w:p w:rsidR="001C505B" w:rsidRPr="009806F0" w:rsidRDefault="001C505B">
            <w:pPr>
              <w:ind w:left="2"/>
              <w:rPr>
                <w:color w:val="0070C0"/>
              </w:rPr>
            </w:pPr>
          </w:p>
        </w:tc>
      </w:tr>
      <w:tr w:rsidR="001C505B">
        <w:trPr>
          <w:trHeight w:val="439"/>
        </w:trPr>
        <w:tc>
          <w:tcPr>
            <w:tcW w:w="9644" w:type="dxa"/>
            <w:gridSpan w:val="2"/>
            <w:tcBorders>
              <w:top w:val="single" w:sz="4" w:space="0" w:color="000000"/>
              <w:left w:val="single" w:sz="4" w:space="0" w:color="000000"/>
              <w:bottom w:val="nil"/>
              <w:right w:val="single" w:sz="4" w:space="0" w:color="000000"/>
            </w:tcBorders>
            <w:shd w:val="clear" w:color="auto" w:fill="D9D9D9"/>
          </w:tcPr>
          <w:p w:rsidR="001C505B" w:rsidRDefault="00E81E84">
            <w:r>
              <w:rPr>
                <w:rFonts w:ascii="Times New Roman" w:eastAsia="Times New Roman" w:hAnsi="Times New Roman" w:cs="Times New Roman"/>
                <w:b/>
                <w:sz w:val="20"/>
              </w:rPr>
              <w:lastRenderedPageBreak/>
              <w:t>INNE INFORMACJE</w:t>
            </w:r>
            <w:r>
              <w:rPr>
                <w:rFonts w:ascii="Times New Roman" w:eastAsia="Times New Roman" w:hAnsi="Times New Roman" w:cs="Times New Roman"/>
                <w:sz w:val="20"/>
                <w:vertAlign w:val="superscript"/>
              </w:rPr>
              <w:footnoteReference w:id="3"/>
            </w:r>
            <w:r>
              <w:rPr>
                <w:rFonts w:ascii="Times New Roman" w:eastAsia="Times New Roman" w:hAnsi="Times New Roman" w:cs="Times New Roman"/>
                <w:sz w:val="20"/>
                <w:vertAlign w:val="superscript"/>
              </w:rPr>
              <w:t>)</w:t>
            </w:r>
            <w:r>
              <w:rPr>
                <w:rFonts w:ascii="Times New Roman" w:eastAsia="Times New Roman" w:hAnsi="Times New Roman" w:cs="Times New Roman"/>
                <w:sz w:val="20"/>
              </w:rPr>
              <w:t xml:space="preserve"> </w:t>
            </w:r>
          </w:p>
        </w:tc>
      </w:tr>
      <w:tr w:rsidR="001C505B">
        <w:trPr>
          <w:trHeight w:val="5439"/>
        </w:trPr>
        <w:tc>
          <w:tcPr>
            <w:tcW w:w="9644" w:type="dxa"/>
            <w:gridSpan w:val="2"/>
            <w:tcBorders>
              <w:top w:val="nil"/>
              <w:left w:val="single" w:sz="4" w:space="0" w:color="000000"/>
              <w:bottom w:val="nil"/>
              <w:right w:val="single" w:sz="4" w:space="0" w:color="000000"/>
            </w:tcBorders>
            <w:shd w:val="clear" w:color="auto" w:fill="F2F2F2"/>
          </w:tcPr>
          <w:p w:rsidR="001C505B" w:rsidRDefault="00E81E84">
            <w:pPr>
              <w:spacing w:after="73"/>
            </w:pPr>
            <w:r>
              <w:rPr>
                <w:rFonts w:ascii="Times New Roman" w:eastAsia="Times New Roman" w:hAnsi="Times New Roman" w:cs="Times New Roman"/>
                <w:sz w:val="20"/>
              </w:rPr>
              <w:lastRenderedPageBreak/>
              <w:t xml:space="preserve">I. Informacja: </w:t>
            </w:r>
          </w:p>
          <w:p w:rsidR="001C505B" w:rsidRDefault="00E81E84">
            <w:pPr>
              <w:numPr>
                <w:ilvl w:val="0"/>
                <w:numId w:val="9"/>
              </w:numPr>
              <w:spacing w:after="145" w:line="273" w:lineRule="auto"/>
              <w:ind w:right="49" w:hanging="312"/>
              <w:jc w:val="both"/>
            </w:pPr>
            <w:r>
              <w:rPr>
                <w:rFonts w:ascii="Times New Roman" w:eastAsia="Times New Roman" w:hAnsi="Times New Roman" w:cs="Times New Roman"/>
                <w:sz w:val="20"/>
              </w:rPr>
              <w:t xml:space="preserve">o zgodzie banku, kasy lub innego wierzyciela hipotecznego na </w:t>
            </w:r>
            <w:proofErr w:type="spellStart"/>
            <w:r>
              <w:rPr>
                <w:rFonts w:ascii="Times New Roman" w:eastAsia="Times New Roman" w:hAnsi="Times New Roman" w:cs="Times New Roman"/>
                <w:sz w:val="20"/>
              </w:rPr>
              <w:t>bezobciążeniowe</w:t>
            </w:r>
            <w:proofErr w:type="spellEnd"/>
            <w:r>
              <w:rPr>
                <w:rFonts w:ascii="Times New Roman" w:eastAsia="Times New Roman" w:hAnsi="Times New Roman" w:cs="Times New Roman"/>
                <w:sz w:val="20"/>
              </w:rPr>
              <w:t xml:space="preserve"> ustanowienie odrębnej własności lokalu mieszkalnego i przeniesienie jego własności na nabywcę po wpłacie pełnej ceny przez nabywcę lub zobowiązaniu do jej udzielenia, jeżeli takie obciążenie istnieje, albo zgodzie banku, kasy lub innego wierzyciela hipotecznego na </w:t>
            </w:r>
            <w:proofErr w:type="spellStart"/>
            <w:r>
              <w:rPr>
                <w:rFonts w:ascii="Times New Roman" w:eastAsia="Times New Roman" w:hAnsi="Times New Roman" w:cs="Times New Roman"/>
                <w:sz w:val="20"/>
              </w:rPr>
              <w:t>bezobciążeniowe</w:t>
            </w:r>
            <w:proofErr w:type="spellEnd"/>
            <w:r>
              <w:rPr>
                <w:rFonts w:ascii="Times New Roman" w:eastAsia="Times New Roman" w:hAnsi="Times New Roman" w:cs="Times New Roman"/>
                <w:sz w:val="20"/>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 istnieje; </w:t>
            </w:r>
            <w:r w:rsidR="001B5EC4">
              <w:rPr>
                <w:rFonts w:ascii="Times New Roman" w:eastAsia="Times New Roman" w:hAnsi="Times New Roman" w:cs="Times New Roman"/>
                <w:sz w:val="20"/>
              </w:rPr>
              <w:t xml:space="preserve">nie dotyczy </w:t>
            </w:r>
          </w:p>
          <w:p w:rsidR="001C505B" w:rsidRDefault="00E81E84">
            <w:pPr>
              <w:numPr>
                <w:ilvl w:val="0"/>
                <w:numId w:val="9"/>
              </w:numPr>
              <w:spacing w:after="298" w:line="280" w:lineRule="auto"/>
              <w:ind w:right="49" w:hanging="312"/>
              <w:jc w:val="both"/>
            </w:pPr>
            <w:r>
              <w:rPr>
                <w:rFonts w:ascii="Times New Roman" w:eastAsia="Times New Roman" w:hAnsi="Times New Roman" w:cs="Times New Roman"/>
                <w:sz w:val="20"/>
              </w:rPr>
              <w:t xml:space="preserve">w przypadku umów, o których mowa w art. 2 ust. 2 ustawy z dnia 20 maja 2021 r. o ochronie praw nabywcy lokalu mieszkalnego lub domu jednorodzinnego oraz Deweloperskim Funduszu Gwarancyjnym – o zgodzie banku, kasy lub innego wierzyciela hipotecznego na </w:t>
            </w:r>
            <w:proofErr w:type="spellStart"/>
            <w:r>
              <w:rPr>
                <w:rFonts w:ascii="Times New Roman" w:eastAsia="Times New Roman" w:hAnsi="Times New Roman" w:cs="Times New Roman"/>
                <w:sz w:val="20"/>
              </w:rPr>
              <w:t>bezobciążeniowe</w:t>
            </w:r>
            <w:proofErr w:type="spellEnd"/>
            <w:r>
              <w:rPr>
                <w:rFonts w:ascii="Times New Roman" w:eastAsia="Times New Roman" w:hAnsi="Times New Roman" w:cs="Times New Roman"/>
                <w:sz w:val="20"/>
              </w:rPr>
              <w:t xml:space="preserve"> przeniesienie własności lokalu użytkowego na nabywcę po wpłacie pełnej ceny przez nabywcę lub zobowiązaniu do udzielenia takiej zgody, jeżeli takie obciążenie istnieje, albo zgodzie banku, kasy lub innego wierzyciela hipotecznego na </w:t>
            </w:r>
            <w:proofErr w:type="spellStart"/>
            <w:r>
              <w:rPr>
                <w:rFonts w:ascii="Times New Roman" w:eastAsia="Times New Roman" w:hAnsi="Times New Roman" w:cs="Times New Roman"/>
                <w:sz w:val="20"/>
              </w:rPr>
              <w:t>bezobciążeniowe</w:t>
            </w:r>
            <w:proofErr w:type="spellEnd"/>
            <w:r>
              <w:rPr>
                <w:rFonts w:ascii="Times New Roman" w:eastAsia="Times New Roman" w:hAnsi="Times New Roman" w:cs="Times New Roman"/>
                <w:sz w:val="20"/>
              </w:rPr>
              <w:t xml:space="preserve"> przeniesienie na nabywcę ułamkowej części własności lokalu użytkowego po wpłacie pełnej ceny przez nabywcę lub zobowiązaniu do udzielenia takiej zgody, jeżeli takie obciążenie istnieje.</w:t>
            </w:r>
            <w:r>
              <w:rPr>
                <w:rFonts w:ascii="Times New Roman" w:eastAsia="Times New Roman" w:hAnsi="Times New Roman" w:cs="Times New Roman"/>
                <w:b/>
                <w:sz w:val="20"/>
              </w:rPr>
              <w:t xml:space="preserve"> </w:t>
            </w:r>
            <w:r w:rsidR="001B5EC4">
              <w:rPr>
                <w:rFonts w:ascii="Times New Roman" w:eastAsia="Times New Roman" w:hAnsi="Times New Roman" w:cs="Times New Roman"/>
                <w:b/>
                <w:sz w:val="20"/>
              </w:rPr>
              <w:t xml:space="preserve">Nie dotyczy </w:t>
            </w:r>
          </w:p>
          <w:p w:rsidR="001C505B" w:rsidRDefault="00E81E84">
            <w:r>
              <w:rPr>
                <w:rFonts w:ascii="Times New Roman" w:eastAsia="Times New Roman" w:hAnsi="Times New Roman" w:cs="Times New Roman"/>
                <w:sz w:val="20"/>
              </w:rPr>
              <w:t xml:space="preserve"> </w:t>
            </w:r>
          </w:p>
        </w:tc>
      </w:tr>
    </w:tbl>
    <w:p w:rsidR="001C505B" w:rsidRDefault="008C0128">
      <w:pPr>
        <w:numPr>
          <w:ilvl w:val="0"/>
          <w:numId w:val="3"/>
        </w:numPr>
        <w:spacing w:after="170" w:line="248" w:lineRule="auto"/>
        <w:ind w:right="212" w:hanging="284"/>
        <w:jc w:val="both"/>
      </w:pPr>
      <w:r>
        <w:rPr>
          <w:noProof/>
        </w:rPr>
        <w:lastRenderedPageBreak/>
        <w:pict>
          <v:group id="Group 22476" o:spid="_x0000_s1032" style="position:absolute;left:0;text-align:left;margin-left:0;margin-top:-3.65pt;width:.5pt;height:694.2pt;z-index:251658240;mso-position-horizontal-relative:text;mso-position-vertical-relative:text" coordsize="60,88160">
            <v:shape id="Shape 29158" o:spid="_x0000_s1033" style="position:absolute;width:91;height:88160" coordsize="9144,8816086" path="m,l9144,r,8816086l,8816086,,e" fillcolor="black" stroked="f" strokeweight="0">
              <v:stroke opacity="0" miterlimit="10" joinstyle="miter"/>
            </v:shape>
            <w10:wrap type="square"/>
          </v:group>
        </w:pict>
      </w:r>
      <w:r>
        <w:rPr>
          <w:noProof/>
        </w:rPr>
        <w:pict>
          <v:group id="Group 22477" o:spid="_x0000_s1030" style="position:absolute;left:0;text-align:left;margin-left:482.35pt;margin-top:-3.65pt;width:.5pt;height:694.2pt;z-index:251659264;mso-position-horizontal-relative:text;mso-position-vertical-relative:text" coordsize="60,88160">
            <v:shape id="Shape 29160" o:spid="_x0000_s1031" style="position:absolute;width:91;height:88160" coordsize="9144,8816086" path="m,l9144,r,8816086l,8816086,,e" fillcolor="black" stroked="f" strokeweight="0">
              <v:stroke opacity="0" miterlimit="10" joinstyle="miter"/>
            </v:shape>
            <w10:wrap type="square"/>
          </v:group>
        </w:pict>
      </w:r>
      <w:r w:rsidR="00E81E84">
        <w:rPr>
          <w:rFonts w:ascii="Times New Roman" w:eastAsia="Times New Roman" w:hAnsi="Times New Roman" w:cs="Times New Roman"/>
          <w:sz w:val="20"/>
        </w:rPr>
        <w:t xml:space="preserve">Informacja o możliwości zapoznania się w lokalu przedsiębiorstwa przez osobę zainteresowaną zawarciem umowy odpowiednio do zakresu umowy z: </w:t>
      </w:r>
    </w:p>
    <w:p w:rsidR="001C505B" w:rsidRDefault="00E81E84">
      <w:pPr>
        <w:numPr>
          <w:ilvl w:val="1"/>
          <w:numId w:val="3"/>
        </w:numPr>
        <w:spacing w:after="27" w:line="248" w:lineRule="auto"/>
        <w:ind w:right="212" w:hanging="420"/>
        <w:jc w:val="both"/>
      </w:pPr>
      <w:r>
        <w:rPr>
          <w:rFonts w:ascii="Times New Roman" w:eastAsia="Times New Roman" w:hAnsi="Times New Roman" w:cs="Times New Roman"/>
          <w:sz w:val="20"/>
        </w:rPr>
        <w:t xml:space="preserve">aktualnym stanem księgi wieczystej prowadzonej dla nieruchomości; </w:t>
      </w:r>
    </w:p>
    <w:p w:rsidR="001C505B" w:rsidRDefault="00E81E84">
      <w:pPr>
        <w:numPr>
          <w:ilvl w:val="1"/>
          <w:numId w:val="3"/>
        </w:numPr>
        <w:spacing w:after="27" w:line="248" w:lineRule="auto"/>
        <w:ind w:right="212" w:hanging="420"/>
        <w:jc w:val="both"/>
      </w:pPr>
      <w:r>
        <w:rPr>
          <w:rFonts w:ascii="Times New Roman" w:eastAsia="Times New Roman" w:hAnsi="Times New Roman" w:cs="Times New Roman"/>
          <w:sz w:val="20"/>
        </w:rPr>
        <w:t xml:space="preserve">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 </w:t>
      </w:r>
    </w:p>
    <w:p w:rsidR="001C505B" w:rsidRDefault="00E81E84">
      <w:pPr>
        <w:numPr>
          <w:ilvl w:val="1"/>
          <w:numId w:val="3"/>
        </w:numPr>
        <w:spacing w:after="27" w:line="248" w:lineRule="auto"/>
        <w:ind w:right="212" w:hanging="420"/>
        <w:jc w:val="both"/>
      </w:pPr>
      <w:r>
        <w:rPr>
          <w:rFonts w:ascii="Times New Roman" w:eastAsia="Times New Roman" w:hAnsi="Times New Roman" w:cs="Times New Roman"/>
          <w:sz w:val="20"/>
        </w:rPr>
        <w:t xml:space="preserve">pozwoleniem na budowę albo zgłoszeniem budowy, o którym mowa w art. 29 ust. 1 pkt 1 ustawy z dnia 7 lipca </w:t>
      </w:r>
    </w:p>
    <w:p w:rsidR="001C505B" w:rsidRDefault="00E81E84">
      <w:pPr>
        <w:spacing w:after="27" w:line="248" w:lineRule="auto"/>
        <w:ind w:right="212" w:firstLine="420"/>
        <w:jc w:val="both"/>
      </w:pPr>
      <w:r>
        <w:rPr>
          <w:rFonts w:ascii="Times New Roman" w:eastAsia="Times New Roman" w:hAnsi="Times New Roman" w:cs="Times New Roman"/>
          <w:sz w:val="20"/>
        </w:rPr>
        <w:t xml:space="preserve">1994 r. – Prawo budowlane, do którego organ administracji architektoniczno-budowlanej nie wniósł sprzeciwu; 4) sprawozdaniem finansowym dewelopera za ostatnie dwa lata, a w przypadku: </w:t>
      </w:r>
    </w:p>
    <w:p w:rsidR="001C505B" w:rsidRDefault="00E81E84">
      <w:pPr>
        <w:numPr>
          <w:ilvl w:val="2"/>
          <w:numId w:val="4"/>
        </w:numPr>
        <w:spacing w:after="27" w:line="248" w:lineRule="auto"/>
        <w:ind w:right="212" w:hanging="425"/>
        <w:jc w:val="both"/>
      </w:pPr>
      <w:r>
        <w:rPr>
          <w:rFonts w:ascii="Times New Roman" w:eastAsia="Times New Roman" w:hAnsi="Times New Roman" w:cs="Times New Roman"/>
          <w:sz w:val="20"/>
        </w:rPr>
        <w:t xml:space="preserve">prowadzenia działalności przez okres krótszy niż dwa lata – sprawozdaniem finansowym za okres ostatniego roku, </w:t>
      </w:r>
    </w:p>
    <w:p w:rsidR="001C505B" w:rsidRDefault="00E81E84">
      <w:pPr>
        <w:numPr>
          <w:ilvl w:val="2"/>
          <w:numId w:val="4"/>
        </w:numPr>
        <w:spacing w:after="27" w:line="248" w:lineRule="auto"/>
        <w:ind w:right="212" w:hanging="425"/>
        <w:jc w:val="both"/>
      </w:pPr>
      <w:r>
        <w:rPr>
          <w:rFonts w:ascii="Times New Roman" w:eastAsia="Times New Roman" w:hAnsi="Times New Roman" w:cs="Times New Roman"/>
          <w:sz w:val="20"/>
        </w:rPr>
        <w:t xml:space="preserve">realizacji inwestycji przez spółkę celową – sprawozdaniem spółki dominującej oraz spółki celowej; </w:t>
      </w:r>
    </w:p>
    <w:p w:rsidR="001C505B" w:rsidRDefault="00E81E84">
      <w:pPr>
        <w:numPr>
          <w:ilvl w:val="1"/>
          <w:numId w:val="5"/>
        </w:numPr>
        <w:spacing w:after="27" w:line="248" w:lineRule="auto"/>
        <w:ind w:right="212" w:hanging="420"/>
        <w:jc w:val="both"/>
      </w:pPr>
      <w:r>
        <w:rPr>
          <w:rFonts w:ascii="Times New Roman" w:eastAsia="Times New Roman" w:hAnsi="Times New Roman" w:cs="Times New Roman"/>
          <w:sz w:val="20"/>
        </w:rPr>
        <w:t xml:space="preserve">projektem budowlanym;  </w:t>
      </w:r>
    </w:p>
    <w:p w:rsidR="001C505B" w:rsidRDefault="00E81E84">
      <w:pPr>
        <w:numPr>
          <w:ilvl w:val="1"/>
          <w:numId w:val="5"/>
        </w:numPr>
        <w:spacing w:after="27" w:line="248" w:lineRule="auto"/>
        <w:ind w:right="212" w:hanging="420"/>
        <w:jc w:val="both"/>
      </w:pPr>
      <w:r>
        <w:rPr>
          <w:rFonts w:ascii="Times New Roman" w:eastAsia="Times New Roman" w:hAnsi="Times New Roman" w:cs="Times New Roman"/>
          <w:sz w:val="20"/>
        </w:rPr>
        <w:t xml:space="preserve">decyzją o pozwoleniu na użytkowanie budynku lub zawiadomieniem o zakończeniu budowy, do którego organ nadzoru budowlanego nie wniósł sprzeciwu; </w:t>
      </w:r>
    </w:p>
    <w:p w:rsidR="001C505B" w:rsidRDefault="00E81E84">
      <w:pPr>
        <w:numPr>
          <w:ilvl w:val="1"/>
          <w:numId w:val="5"/>
        </w:numPr>
        <w:spacing w:after="3" w:line="281" w:lineRule="auto"/>
        <w:ind w:right="212" w:hanging="420"/>
        <w:jc w:val="both"/>
      </w:pPr>
      <w:r>
        <w:rPr>
          <w:rFonts w:ascii="Times New Roman" w:eastAsia="Times New Roman" w:hAnsi="Times New Roman" w:cs="Times New Roman"/>
          <w:sz w:val="20"/>
        </w:rPr>
        <w:t xml:space="preserve">zaświadczeniem o samodzielności lokalu;  8) </w:t>
      </w:r>
      <w:r>
        <w:rPr>
          <w:rFonts w:ascii="Times New Roman" w:eastAsia="Times New Roman" w:hAnsi="Times New Roman" w:cs="Times New Roman"/>
          <w:sz w:val="20"/>
        </w:rPr>
        <w:tab/>
        <w:t xml:space="preserve">aktem ustanowienia odrębnej własności lokalu; 9) </w:t>
      </w:r>
      <w:r>
        <w:rPr>
          <w:rFonts w:ascii="Times New Roman" w:eastAsia="Times New Roman" w:hAnsi="Times New Roman" w:cs="Times New Roman"/>
          <w:sz w:val="20"/>
        </w:rPr>
        <w:tab/>
        <w:t xml:space="preserve">dokumentem potwierdzającym: </w:t>
      </w:r>
    </w:p>
    <w:p w:rsidR="001C505B" w:rsidRDefault="00E81E84">
      <w:pPr>
        <w:numPr>
          <w:ilvl w:val="2"/>
          <w:numId w:val="6"/>
        </w:numPr>
        <w:spacing w:after="30" w:line="248" w:lineRule="auto"/>
        <w:ind w:left="1513" w:right="212" w:hanging="425"/>
        <w:jc w:val="both"/>
      </w:pPr>
      <w:r>
        <w:rPr>
          <w:rFonts w:ascii="Times New Roman" w:eastAsia="Times New Roman" w:hAnsi="Times New Roman" w:cs="Times New Roman"/>
          <w:sz w:val="20"/>
        </w:rPr>
        <w:t xml:space="preserve">zgodę banku, kasy lub innego wierzyciela hipotecznego na </w:t>
      </w:r>
      <w:proofErr w:type="spellStart"/>
      <w:r>
        <w:rPr>
          <w:rFonts w:ascii="Times New Roman" w:eastAsia="Times New Roman" w:hAnsi="Times New Roman" w:cs="Times New Roman"/>
          <w:sz w:val="20"/>
        </w:rPr>
        <w:t>bezobciążeniowe</w:t>
      </w:r>
      <w:proofErr w:type="spellEnd"/>
      <w:r>
        <w:rPr>
          <w:rFonts w:ascii="Times New Roman" w:eastAsia="Times New Roman" w:hAnsi="Times New Roman" w:cs="Times New Roman"/>
          <w:sz w:val="20"/>
        </w:rPr>
        <w:t xml:space="preserve"> ustanowienie odrębnej własności lokalu mieszkalnego i przeniesienie jego własności na nabywcę po wpłacie pełnej ceny przez nabywcę lub zobowiązanie do jej udzielenia, jeżeli takie obciążenie istnieje, albo zgodę banku, kasy lub innego wierzyciela hipotecznego na </w:t>
      </w:r>
      <w:proofErr w:type="spellStart"/>
      <w:r>
        <w:rPr>
          <w:rFonts w:ascii="Times New Roman" w:eastAsia="Times New Roman" w:hAnsi="Times New Roman" w:cs="Times New Roman"/>
          <w:sz w:val="20"/>
        </w:rPr>
        <w:t>bezobciążeniowe</w:t>
      </w:r>
      <w:proofErr w:type="spellEnd"/>
      <w:r>
        <w:rPr>
          <w:rFonts w:ascii="Times New Roman" w:eastAsia="Times New Roman" w:hAnsi="Times New Roman" w:cs="Times New Roman"/>
          <w:sz w:val="20"/>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 </w:t>
      </w:r>
    </w:p>
    <w:p w:rsidR="001C505B" w:rsidRDefault="00E81E84">
      <w:pPr>
        <w:numPr>
          <w:ilvl w:val="2"/>
          <w:numId w:val="6"/>
        </w:numPr>
        <w:spacing w:after="0" w:line="248" w:lineRule="auto"/>
        <w:ind w:left="1513" w:right="212" w:hanging="425"/>
        <w:jc w:val="both"/>
      </w:pPr>
      <w:r>
        <w:rPr>
          <w:rFonts w:ascii="Times New Roman" w:eastAsia="Times New Roman" w:hAnsi="Times New Roman" w:cs="Times New Roman"/>
          <w:sz w:val="20"/>
        </w:rPr>
        <w:t xml:space="preserve">w przypadku umów, o których mowa w art. 2 ust. 2 ustawy z dnia 20 maja 2021 r. o ochronie praw nabywcy lokalu mieszkalnego lub domu jednorodzinnego oraz Deweloperskim Funduszu Gwarancyjnym – zgodę banku, kasy lub innego wierzyciela hipotecznego na </w:t>
      </w:r>
      <w:proofErr w:type="spellStart"/>
      <w:r>
        <w:rPr>
          <w:rFonts w:ascii="Times New Roman" w:eastAsia="Times New Roman" w:hAnsi="Times New Roman" w:cs="Times New Roman"/>
          <w:sz w:val="20"/>
        </w:rPr>
        <w:t>bezobciążeniowe</w:t>
      </w:r>
      <w:proofErr w:type="spellEnd"/>
      <w:r>
        <w:rPr>
          <w:rFonts w:ascii="Times New Roman" w:eastAsia="Times New Roman" w:hAnsi="Times New Roman" w:cs="Times New Roman"/>
          <w:sz w:val="20"/>
        </w:rPr>
        <w:t xml:space="preserve"> przeniesienie własności lokalu użytkowego na nabywcę po wpłacie pełnej ceny przez nabywcę lub zobowiązanie do udzielenia takiej zgody, jeżeli takie obciążenie istnieje, albo zgodę banku, kasy lub innego wierzyciela hipotecznego na </w:t>
      </w:r>
      <w:proofErr w:type="spellStart"/>
      <w:r>
        <w:rPr>
          <w:rFonts w:ascii="Times New Roman" w:eastAsia="Times New Roman" w:hAnsi="Times New Roman" w:cs="Times New Roman"/>
          <w:sz w:val="20"/>
        </w:rPr>
        <w:t>bezobciążeniowe</w:t>
      </w:r>
      <w:proofErr w:type="spellEnd"/>
      <w:r>
        <w:rPr>
          <w:rFonts w:ascii="Times New Roman" w:eastAsia="Times New Roman" w:hAnsi="Times New Roman" w:cs="Times New Roman"/>
          <w:sz w:val="20"/>
        </w:rPr>
        <w:t xml:space="preserve"> przeniesienie na nabywcę ułamkowej części własności lokalu użytkowego po wpłacie pełnej ceny przez nabywcę lub zobowiązanie do udzielenia takiej zgody, jeżeli takie obciążenie istnieje. </w:t>
      </w:r>
    </w:p>
    <w:p w:rsidR="001C505B" w:rsidRDefault="00E81E84">
      <w:pPr>
        <w:spacing w:after="0"/>
        <w:ind w:left="850" w:right="212"/>
      </w:pPr>
      <w:r>
        <w:rPr>
          <w:rFonts w:ascii="Times New Roman" w:eastAsia="Times New Roman" w:hAnsi="Times New Roman" w:cs="Times New Roman"/>
          <w:sz w:val="20"/>
        </w:rPr>
        <w:t xml:space="preserve"> </w:t>
      </w:r>
    </w:p>
    <w:p w:rsidR="001C505B" w:rsidRDefault="00E81E84">
      <w:pPr>
        <w:numPr>
          <w:ilvl w:val="0"/>
          <w:numId w:val="3"/>
        </w:numPr>
        <w:spacing w:after="132" w:line="248" w:lineRule="auto"/>
        <w:ind w:right="212" w:hanging="284"/>
        <w:jc w:val="both"/>
      </w:pPr>
      <w:r>
        <w:rPr>
          <w:rFonts w:ascii="Times New Roman" w:eastAsia="Times New Roman" w:hAnsi="Times New Roman" w:cs="Times New Roman"/>
          <w:sz w:val="20"/>
        </w:rPr>
        <w:t xml:space="preserve">Informacja: </w:t>
      </w:r>
    </w:p>
    <w:p w:rsidR="001C505B" w:rsidRDefault="00E81E84">
      <w:pPr>
        <w:spacing w:after="170" w:line="248" w:lineRule="auto"/>
        <w:ind w:right="212"/>
        <w:jc w:val="both"/>
      </w:pPr>
      <w:r>
        <w:rPr>
          <w:rFonts w:ascii="Times New Roman" w:eastAsia="Times New Roman" w:hAnsi="Times New Roman" w:cs="Times New Roman"/>
          <w:sz w:val="20"/>
        </w:rPr>
        <w:t xml:space="preserve">Środki pieniężne zgromadzone w </w:t>
      </w:r>
      <w:r w:rsidR="001B5EC4" w:rsidRPr="001B5EC4">
        <w:rPr>
          <w:rFonts w:ascii="Times New Roman" w:eastAsia="Times New Roman" w:hAnsi="Times New Roman" w:cs="Times New Roman"/>
          <w:sz w:val="20"/>
        </w:rPr>
        <w:t>Banku Spółdzielczym w Jarocinie, Oddziale w Ostrowie Wielkopolskim</w:t>
      </w:r>
      <w:r>
        <w:rPr>
          <w:rFonts w:ascii="Times New Roman" w:eastAsia="Times New Roman" w:hAnsi="Times New Roman" w:cs="Times New Roman"/>
          <w:sz w:val="20"/>
        </w:rPr>
        <w:t xml:space="preserve">], prowadzącym/prowadzącej otwarty mieszkaniowy rachunek powierniczy albo zamknięty mieszkaniowy rachunek powierniczy, są objęte ochroną obowiązkowego systemu gwarantowania depozytów na zasadach określonych w ustawie z dnia 10 czerwca 2016 r. o Bankowym Funduszu Gwarancyjnym, systemie gwarantowania depozytów oraz przymusowej restrukturyzacji (Dz. U. z 2022 r. poz. 2253 oraz z 2023 r. poz. 825, 1705, 1784 i 1843). </w:t>
      </w:r>
    </w:p>
    <w:p w:rsidR="001C505B" w:rsidRDefault="00E81E84">
      <w:pPr>
        <w:spacing w:after="206" w:line="248" w:lineRule="auto"/>
        <w:ind w:left="10" w:right="212" w:hanging="10"/>
        <w:jc w:val="both"/>
      </w:pPr>
      <w:r>
        <w:rPr>
          <w:rFonts w:ascii="Times New Roman" w:eastAsia="Times New Roman" w:hAnsi="Times New Roman" w:cs="Times New Roman"/>
          <w:sz w:val="20"/>
        </w:rPr>
        <w:t xml:space="preserve">Informacje podstawowe o obowiązkowym systemie gwarantowania depozytów: </w:t>
      </w:r>
    </w:p>
    <w:p w:rsidR="001C505B" w:rsidRDefault="00E81E84">
      <w:pPr>
        <w:numPr>
          <w:ilvl w:val="0"/>
          <w:numId w:val="7"/>
        </w:numPr>
        <w:spacing w:after="170" w:line="248" w:lineRule="auto"/>
        <w:ind w:right="212" w:hanging="313"/>
        <w:jc w:val="both"/>
      </w:pPr>
      <w:r>
        <w:rPr>
          <w:rFonts w:ascii="Times New Roman" w:eastAsia="Times New Roman" w:hAnsi="Times New Roman" w:cs="Times New Roman"/>
          <w:sz w:val="20"/>
        </w:rPr>
        <w:t xml:space="preserve">ochrona środków dotyczy sytuacji spełnienia warunku gwarancji wobec </w:t>
      </w:r>
      <w:r w:rsidR="001B5EC4" w:rsidRPr="001B5EC4">
        <w:rPr>
          <w:rFonts w:ascii="Times New Roman" w:eastAsia="Times New Roman" w:hAnsi="Times New Roman" w:cs="Times New Roman"/>
          <w:sz w:val="20"/>
        </w:rPr>
        <w:t>Banku Spółdzielczym w Jarocinie, Oddziale w Ostrowie Wielkopolskim</w:t>
      </w:r>
      <w:r>
        <w:rPr>
          <w:rFonts w:ascii="Times New Roman" w:eastAsia="Times New Roman" w:hAnsi="Times New Roman" w:cs="Times New Roman"/>
          <w:sz w:val="20"/>
        </w:rPr>
        <w:t xml:space="preserve">, </w:t>
      </w:r>
    </w:p>
    <w:p w:rsidR="001C505B" w:rsidRDefault="00E81E84">
      <w:pPr>
        <w:numPr>
          <w:ilvl w:val="0"/>
          <w:numId w:val="7"/>
        </w:numPr>
        <w:spacing w:after="170" w:line="248" w:lineRule="auto"/>
        <w:ind w:right="212" w:hanging="313"/>
        <w:jc w:val="both"/>
      </w:pPr>
      <w:r>
        <w:rPr>
          <w:rFonts w:ascii="Times New Roman" w:eastAsia="Times New Roman" w:hAnsi="Times New Roman" w:cs="Times New Roman"/>
          <w:sz w:val="20"/>
        </w:rPr>
        <w:t xml:space="preserve">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 </w:t>
      </w:r>
    </w:p>
    <w:p w:rsidR="001C505B" w:rsidRDefault="00E81E84">
      <w:pPr>
        <w:numPr>
          <w:ilvl w:val="0"/>
          <w:numId w:val="7"/>
        </w:numPr>
        <w:spacing w:after="170" w:line="248" w:lineRule="auto"/>
        <w:ind w:right="212" w:hanging="313"/>
        <w:jc w:val="both"/>
      </w:pPr>
      <w:r>
        <w:rPr>
          <w:rFonts w:ascii="Times New Roman" w:eastAsia="Times New Roman" w:hAnsi="Times New Roman" w:cs="Times New Roman"/>
          <w:sz w:val="20"/>
        </w:rPr>
        <w:t xml:space="preserve">limit gwarancyjny przypadający na jednego deponenta to równowartość w złotych 100 000 euro; w przypadkach określonych w art. 24 ust. 3 i 4 ustawy z dnia 10 czerwca 2016 r. o Bankowym Funduszu Gwarancyjnym, systemie gwarantowania depozytów oraz przymusowej restrukturyzacji, środki deponenta, w terminie 3 miesięcy od dnia ich wpływu na rachunek, objęte są gwarancjami ponad równowartość w złotych 100 000 euro, </w:t>
      </w:r>
    </w:p>
    <w:p w:rsidR="001C505B" w:rsidRDefault="00E81E84">
      <w:pPr>
        <w:numPr>
          <w:ilvl w:val="0"/>
          <w:numId w:val="7"/>
        </w:numPr>
        <w:spacing w:after="170" w:line="248" w:lineRule="auto"/>
        <w:ind w:right="212" w:hanging="313"/>
        <w:jc w:val="both"/>
      </w:pPr>
      <w:r>
        <w:rPr>
          <w:rFonts w:ascii="Times New Roman" w:eastAsia="Times New Roman" w:hAnsi="Times New Roman" w:cs="Times New Roman"/>
          <w:sz w:val="20"/>
        </w:rPr>
        <w:lastRenderedPageBreak/>
        <w:t xml:space="preserve">podstawą wyliczenia kwoty środków gwarantowanych należnej deponentowi jest suma wszystkich podlegających ochronie należności tego deponenta od banku lub kasy, w tym należności z tytułu środków zgromadzonych na jego rachunkach osobistych i z tytułu jego udziału w środkach zgromadzonych na rachunku powierniczym, </w:t>
      </w:r>
    </w:p>
    <w:tbl>
      <w:tblPr>
        <w:tblStyle w:val="TableGrid"/>
        <w:tblW w:w="9644" w:type="dxa"/>
        <w:tblInd w:w="6" w:type="dxa"/>
        <w:tblCellMar>
          <w:top w:w="87" w:type="dxa"/>
          <w:left w:w="107" w:type="dxa"/>
          <w:right w:w="59" w:type="dxa"/>
        </w:tblCellMar>
        <w:tblLook w:val="04A0"/>
      </w:tblPr>
      <w:tblGrid>
        <w:gridCol w:w="9644"/>
      </w:tblGrid>
      <w:tr w:rsidR="001C505B">
        <w:trPr>
          <w:trHeight w:val="643"/>
        </w:trPr>
        <w:tc>
          <w:tcPr>
            <w:tcW w:w="9644" w:type="dxa"/>
            <w:tcBorders>
              <w:top w:val="nil"/>
              <w:left w:val="single" w:sz="4" w:space="0" w:color="000000"/>
              <w:bottom w:val="nil"/>
              <w:right w:val="single" w:sz="4" w:space="0" w:color="000000"/>
            </w:tcBorders>
          </w:tcPr>
          <w:p w:rsidR="001C505B" w:rsidRDefault="00E81E84">
            <w:pPr>
              <w:ind w:left="313" w:hanging="313"/>
              <w:jc w:val="both"/>
            </w:pPr>
            <w:r>
              <w:rPr>
                <w:rFonts w:ascii="Times New Roman" w:eastAsia="Times New Roman" w:hAnsi="Times New Roman" w:cs="Times New Roman"/>
                <w:sz w:val="20"/>
              </w:rPr>
              <w:t xml:space="preserve">– wypłata środków gwarantowanych – co do zasady – następuje w terminie 7 dni roboczych od dnia spełnienia warunku gwarancji wobec banku lub kasy, </w:t>
            </w:r>
          </w:p>
        </w:tc>
      </w:tr>
      <w:tr w:rsidR="001C505B">
        <w:trPr>
          <w:trHeight w:val="3621"/>
        </w:trPr>
        <w:tc>
          <w:tcPr>
            <w:tcW w:w="9644" w:type="dxa"/>
            <w:tcBorders>
              <w:top w:val="nil"/>
              <w:left w:val="single" w:sz="4" w:space="0" w:color="000000"/>
              <w:bottom w:val="single" w:sz="4" w:space="0" w:color="000000"/>
              <w:right w:val="single" w:sz="4" w:space="0" w:color="000000"/>
            </w:tcBorders>
            <w:shd w:val="clear" w:color="auto" w:fill="FFFFFF"/>
          </w:tcPr>
          <w:p w:rsidR="001C505B" w:rsidRDefault="00E81E84">
            <w:pPr>
              <w:numPr>
                <w:ilvl w:val="0"/>
                <w:numId w:val="10"/>
              </w:numPr>
              <w:spacing w:after="168"/>
              <w:ind w:hanging="313"/>
            </w:pPr>
            <w:r>
              <w:rPr>
                <w:rFonts w:ascii="Times New Roman" w:eastAsia="Times New Roman" w:hAnsi="Times New Roman" w:cs="Times New Roman"/>
                <w:sz w:val="20"/>
              </w:rPr>
              <w:t xml:space="preserve">wypłata środków gwarantowanych jest dokonywana w złotych, </w:t>
            </w:r>
          </w:p>
          <w:p w:rsidR="001C505B" w:rsidRDefault="009806F0">
            <w:pPr>
              <w:numPr>
                <w:ilvl w:val="0"/>
                <w:numId w:val="10"/>
              </w:numPr>
              <w:spacing w:after="104" w:line="279" w:lineRule="auto"/>
              <w:ind w:hanging="313"/>
            </w:pPr>
            <w:r w:rsidRPr="009806F0">
              <w:rPr>
                <w:rFonts w:ascii="Times New Roman" w:eastAsia="Times New Roman" w:hAnsi="Times New Roman" w:cs="Times New Roman"/>
                <w:color w:val="0070C0"/>
                <w:sz w:val="20"/>
              </w:rPr>
              <w:t xml:space="preserve">Bank Spółdzielczy w Jarocinie Oddział w Ostrowie Wielkopolskim </w:t>
            </w:r>
            <w:r>
              <w:rPr>
                <w:rFonts w:ascii="Times New Roman" w:eastAsia="Times New Roman" w:hAnsi="Times New Roman" w:cs="Times New Roman"/>
                <w:sz w:val="20"/>
              </w:rPr>
              <w:t xml:space="preserve">korzysta także z następujących znaków towarowych: </w:t>
            </w:r>
            <w:r w:rsidRPr="009806F0">
              <w:rPr>
                <w:rFonts w:ascii="Times New Roman" w:eastAsia="Times New Roman" w:hAnsi="Times New Roman" w:cs="Times New Roman"/>
                <w:color w:val="0070C0"/>
                <w:sz w:val="20"/>
              </w:rPr>
              <w:t>nie dotyczy</w:t>
            </w:r>
          </w:p>
          <w:p w:rsidR="001C505B" w:rsidRDefault="00E81E84">
            <w:pPr>
              <w:spacing w:after="170" w:line="238" w:lineRule="auto"/>
              <w:jc w:val="both"/>
            </w:pPr>
            <w:r>
              <w:rPr>
                <w:rFonts w:ascii="Times New Roman" w:eastAsia="Times New Roman" w:hAnsi="Times New Roman" w:cs="Times New Roman"/>
                <w:sz w:val="20"/>
              </w:rPr>
              <w:t xml:space="preserve">Dalsze informacje na temat systemu gwarantowania depozytów można uzyskać na stronie internetowej Bankowego Funduszu Gwarancyjnego: https://www.bfg.pl/. </w:t>
            </w:r>
          </w:p>
          <w:p w:rsidR="001C505B" w:rsidRDefault="00E81E84">
            <w:pPr>
              <w:spacing w:after="12" w:line="237" w:lineRule="auto"/>
              <w:ind w:left="28"/>
              <w:jc w:val="both"/>
            </w:pPr>
            <w:r>
              <w:rPr>
                <w:rFonts w:ascii="Times New Roman" w:eastAsia="Times New Roman" w:hAnsi="Times New Roman" w:cs="Times New Roman"/>
                <w:sz w:val="20"/>
              </w:rPr>
              <w:t xml:space="preserve">Informacja zamieszczana w przypadku zawarcia umowy mieszkaniowego rachunku powierniczego z oddziałem instytucji kredytowej w rozumieniu art. 4 ust. 1 pkt 18 ustawy z dnia 29 sierpnia 1997 r. – Prawo bankowe (Dz. U. </w:t>
            </w:r>
          </w:p>
          <w:p w:rsidR="001C505B" w:rsidRDefault="00E81E84">
            <w:pPr>
              <w:ind w:left="28"/>
            </w:pPr>
            <w:r>
              <w:rPr>
                <w:rFonts w:ascii="Times New Roman" w:eastAsia="Times New Roman" w:hAnsi="Times New Roman" w:cs="Times New Roman"/>
                <w:sz w:val="20"/>
              </w:rPr>
              <w:t xml:space="preserve">z 2023 r. poz. 2488). </w:t>
            </w:r>
          </w:p>
          <w:p w:rsidR="001C505B" w:rsidRDefault="00E81E84">
            <w:pPr>
              <w:spacing w:after="26"/>
            </w:pPr>
            <w:r>
              <w:rPr>
                <w:rFonts w:ascii="Times New Roman" w:eastAsia="Times New Roman" w:hAnsi="Times New Roman" w:cs="Times New Roman"/>
                <w:sz w:val="16"/>
              </w:rPr>
              <w:t xml:space="preserve"> </w:t>
            </w:r>
          </w:p>
          <w:p w:rsidR="001C505B" w:rsidRDefault="00E81E84">
            <w:pPr>
              <w:ind w:right="47"/>
              <w:jc w:val="both"/>
            </w:pPr>
            <w:r>
              <w:rPr>
                <w:rFonts w:ascii="Times New Roman" w:eastAsia="Times New Roman" w:hAnsi="Times New Roman" w:cs="Times New Roman"/>
                <w:sz w:val="20"/>
              </w:rPr>
              <w:t xml:space="preserve">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 </w:t>
            </w:r>
            <w:r w:rsidR="001B5EC4">
              <w:rPr>
                <w:rFonts w:ascii="Times New Roman" w:eastAsia="Times New Roman" w:hAnsi="Times New Roman" w:cs="Times New Roman"/>
                <w:sz w:val="20"/>
              </w:rPr>
              <w:t xml:space="preserve">Nie dotyczy </w:t>
            </w:r>
          </w:p>
        </w:tc>
      </w:tr>
    </w:tbl>
    <w:p w:rsidR="001C505B" w:rsidRDefault="00E81E84">
      <w:pPr>
        <w:spacing w:after="31"/>
      </w:pPr>
      <w:r>
        <w:rPr>
          <w:rFonts w:ascii="Times New Roman" w:eastAsia="Times New Roman" w:hAnsi="Times New Roman" w:cs="Times New Roman"/>
          <w:b/>
          <w:sz w:val="20"/>
        </w:rPr>
        <w:t xml:space="preserve"> </w:t>
      </w:r>
    </w:p>
    <w:p w:rsidR="001C505B" w:rsidRDefault="00E81E84">
      <w:pPr>
        <w:spacing w:after="0"/>
        <w:ind w:left="-5" w:hanging="10"/>
      </w:pPr>
      <w:r>
        <w:rPr>
          <w:rFonts w:ascii="Times New Roman" w:eastAsia="Times New Roman" w:hAnsi="Times New Roman" w:cs="Times New Roman"/>
          <w:b/>
          <w:sz w:val="20"/>
        </w:rPr>
        <w:t xml:space="preserve">CZĘŚĆ INDYWIDUALNA </w:t>
      </w:r>
    </w:p>
    <w:tbl>
      <w:tblPr>
        <w:tblStyle w:val="TableGrid"/>
        <w:tblW w:w="9646" w:type="dxa"/>
        <w:tblInd w:w="6" w:type="dxa"/>
        <w:tblCellMar>
          <w:top w:w="12" w:type="dxa"/>
          <w:left w:w="107" w:type="dxa"/>
          <w:right w:w="75" w:type="dxa"/>
        </w:tblCellMar>
        <w:tblLook w:val="04A0"/>
      </w:tblPr>
      <w:tblGrid>
        <w:gridCol w:w="2971"/>
        <w:gridCol w:w="3256"/>
        <w:gridCol w:w="3419"/>
      </w:tblGrid>
      <w:tr w:rsidR="001C505B">
        <w:trPr>
          <w:trHeight w:val="722"/>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rsidR="001C505B" w:rsidRDefault="00E81E84">
            <w:pPr>
              <w:ind w:right="283"/>
            </w:pPr>
            <w:r>
              <w:rPr>
                <w:rFonts w:ascii="Times New Roman" w:eastAsia="Times New Roman" w:hAnsi="Times New Roman" w:cs="Times New Roman"/>
                <w:sz w:val="20"/>
              </w:rPr>
              <w:t xml:space="preserve">Cena lokalu mieszkalnego albo domu jednorodzinnego </w:t>
            </w:r>
          </w:p>
        </w:tc>
        <w:tc>
          <w:tcPr>
            <w:tcW w:w="6675" w:type="dxa"/>
            <w:gridSpan w:val="2"/>
            <w:tcBorders>
              <w:top w:val="single" w:sz="4" w:space="0" w:color="000000"/>
              <w:left w:val="single" w:sz="4" w:space="0" w:color="000000"/>
              <w:bottom w:val="single" w:sz="4" w:space="0" w:color="000000"/>
              <w:right w:val="single" w:sz="4" w:space="0" w:color="000000"/>
            </w:tcBorders>
          </w:tcPr>
          <w:p w:rsidR="009806F0" w:rsidRPr="009806F0" w:rsidRDefault="00E81E84" w:rsidP="009806F0">
            <w:pPr>
              <w:ind w:left="2"/>
              <w:rPr>
                <w:rFonts w:ascii="Times New Roman" w:eastAsia="Times New Roman" w:hAnsi="Times New Roman" w:cs="Times New Roman"/>
                <w:bCs/>
                <w:color w:val="0070C0"/>
                <w:sz w:val="20"/>
              </w:rPr>
            </w:pPr>
            <w:r w:rsidRPr="009806F0">
              <w:rPr>
                <w:rFonts w:ascii="Times New Roman" w:eastAsia="Times New Roman" w:hAnsi="Times New Roman" w:cs="Times New Roman"/>
                <w:color w:val="0070C0"/>
                <w:sz w:val="20"/>
              </w:rPr>
              <w:t xml:space="preserve"> </w:t>
            </w:r>
            <w:r w:rsidR="009806F0" w:rsidRPr="009806F0">
              <w:rPr>
                <w:rFonts w:ascii="Times New Roman" w:eastAsia="Times New Roman" w:hAnsi="Times New Roman" w:cs="Times New Roman"/>
                <w:bCs/>
                <w:color w:val="0070C0"/>
                <w:sz w:val="20"/>
              </w:rPr>
              <w:t>Lokal mieszkalny: ……………zł brutto</w:t>
            </w:r>
          </w:p>
          <w:p w:rsidR="009806F0" w:rsidRPr="009806F0" w:rsidRDefault="009806F0" w:rsidP="009806F0">
            <w:pPr>
              <w:ind w:left="2"/>
              <w:rPr>
                <w:rFonts w:ascii="Times New Roman" w:eastAsia="Times New Roman" w:hAnsi="Times New Roman" w:cs="Times New Roman"/>
                <w:color w:val="0070C0"/>
                <w:sz w:val="20"/>
              </w:rPr>
            </w:pPr>
            <w:r w:rsidRPr="009806F0">
              <w:rPr>
                <w:rFonts w:ascii="Times New Roman" w:eastAsia="Times New Roman" w:hAnsi="Times New Roman" w:cs="Times New Roman"/>
                <w:color w:val="0070C0"/>
                <w:sz w:val="20"/>
              </w:rPr>
              <w:t>Garaż: …55000.00…………….. zł brutto</w:t>
            </w:r>
          </w:p>
          <w:p w:rsidR="009806F0" w:rsidRPr="009806F0" w:rsidRDefault="009806F0" w:rsidP="009806F0">
            <w:pPr>
              <w:ind w:left="2"/>
              <w:rPr>
                <w:rFonts w:ascii="Times New Roman" w:eastAsia="Times New Roman" w:hAnsi="Times New Roman" w:cs="Times New Roman"/>
                <w:color w:val="0070C0"/>
                <w:sz w:val="20"/>
              </w:rPr>
            </w:pPr>
            <w:r w:rsidRPr="009806F0">
              <w:rPr>
                <w:rFonts w:ascii="Times New Roman" w:eastAsia="Times New Roman" w:hAnsi="Times New Roman" w:cs="Times New Roman"/>
                <w:color w:val="0070C0"/>
                <w:sz w:val="20"/>
              </w:rPr>
              <w:t>Miejsce postojowe: …10000,00………………… zł brutto</w:t>
            </w:r>
          </w:p>
          <w:p w:rsidR="009806F0" w:rsidRPr="009806F0" w:rsidRDefault="009806F0" w:rsidP="009806F0">
            <w:pPr>
              <w:ind w:left="2"/>
              <w:rPr>
                <w:rFonts w:ascii="Times New Roman" w:eastAsia="Times New Roman" w:hAnsi="Times New Roman" w:cs="Times New Roman"/>
                <w:color w:val="0070C0"/>
                <w:sz w:val="20"/>
              </w:rPr>
            </w:pPr>
          </w:p>
          <w:p w:rsidR="001C505B" w:rsidRPr="009806F0" w:rsidRDefault="009806F0" w:rsidP="009806F0">
            <w:pPr>
              <w:ind w:left="2"/>
              <w:rPr>
                <w:color w:val="0070C0"/>
              </w:rPr>
            </w:pPr>
            <w:r w:rsidRPr="009806F0">
              <w:rPr>
                <w:rFonts w:ascii="Times New Roman" w:eastAsia="Times New Roman" w:hAnsi="Times New Roman" w:cs="Times New Roman"/>
                <w:color w:val="0070C0"/>
                <w:sz w:val="20"/>
              </w:rPr>
              <w:t>Cena całkowita lokalu nr …….. wraz z prawem wyłącznego korzystania z miejsca postojowego nr …………………. ………………….. złotych brutto (słownie: …………………………………………………złotych zero groszy)</w:t>
            </w:r>
          </w:p>
        </w:tc>
      </w:tr>
      <w:tr w:rsidR="001C505B">
        <w:trPr>
          <w:trHeight w:val="988"/>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rsidR="001C505B" w:rsidRDefault="00E81E84">
            <w:r>
              <w:rPr>
                <w:rFonts w:ascii="Times New Roman" w:eastAsia="Times New Roman" w:hAnsi="Times New Roman" w:cs="Times New Roman"/>
                <w:sz w:val="20"/>
              </w:rPr>
              <w:t xml:space="preserve">Powierzchnia użytkowa lokalu mieszkalnego albo domu jednorodzinnego </w:t>
            </w:r>
          </w:p>
        </w:tc>
        <w:tc>
          <w:tcPr>
            <w:tcW w:w="6675" w:type="dxa"/>
            <w:gridSpan w:val="2"/>
            <w:tcBorders>
              <w:top w:val="single" w:sz="4" w:space="0" w:color="000000"/>
              <w:left w:val="single" w:sz="4" w:space="0" w:color="000000"/>
              <w:bottom w:val="single" w:sz="4" w:space="0" w:color="000000"/>
              <w:right w:val="single" w:sz="4" w:space="0" w:color="000000"/>
            </w:tcBorders>
          </w:tcPr>
          <w:p w:rsidR="001C505B" w:rsidRPr="009806F0" w:rsidRDefault="00E81E84">
            <w:pPr>
              <w:ind w:left="2"/>
              <w:rPr>
                <w:color w:val="0070C0"/>
              </w:rPr>
            </w:pPr>
            <w:r w:rsidRPr="009806F0">
              <w:rPr>
                <w:rFonts w:ascii="Times New Roman" w:eastAsia="Times New Roman" w:hAnsi="Times New Roman" w:cs="Times New Roman"/>
                <w:color w:val="0070C0"/>
                <w:sz w:val="20"/>
              </w:rPr>
              <w:t xml:space="preserve"> </w:t>
            </w:r>
            <w:r w:rsidR="009806F0" w:rsidRPr="009806F0">
              <w:rPr>
                <w:rFonts w:ascii="Times New Roman" w:eastAsia="Times New Roman" w:hAnsi="Times New Roman" w:cs="Times New Roman"/>
                <w:color w:val="0070C0"/>
                <w:sz w:val="20"/>
              </w:rPr>
              <w:t>Powierzchnia: …………m2</w:t>
            </w:r>
          </w:p>
        </w:tc>
      </w:tr>
      <w:tr w:rsidR="001C505B">
        <w:trPr>
          <w:trHeight w:val="987"/>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rsidR="001C505B" w:rsidRDefault="00E81E84">
            <w:r>
              <w:rPr>
                <w:rFonts w:ascii="Times New Roman" w:eastAsia="Times New Roman" w:hAnsi="Times New Roman" w:cs="Times New Roman"/>
                <w:sz w:val="20"/>
              </w:rPr>
              <w:t>Cena m</w:t>
            </w:r>
            <w:r>
              <w:rPr>
                <w:rFonts w:ascii="Times New Roman" w:eastAsia="Times New Roman" w:hAnsi="Times New Roman" w:cs="Times New Roman"/>
                <w:sz w:val="20"/>
                <w:vertAlign w:val="superscript"/>
              </w:rPr>
              <w:t>2</w:t>
            </w:r>
            <w:r>
              <w:rPr>
                <w:rFonts w:ascii="Times New Roman" w:eastAsia="Times New Roman" w:hAnsi="Times New Roman" w:cs="Times New Roman"/>
                <w:sz w:val="20"/>
              </w:rPr>
              <w:t xml:space="preserve"> powierzchni użytkowej lokalu mieszkalnego albo domu jednorodzinnego </w:t>
            </w:r>
          </w:p>
        </w:tc>
        <w:tc>
          <w:tcPr>
            <w:tcW w:w="6675" w:type="dxa"/>
            <w:gridSpan w:val="2"/>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 </w:t>
            </w:r>
            <w:r w:rsidR="009806F0" w:rsidRPr="009806F0">
              <w:rPr>
                <w:rFonts w:ascii="Times New Roman" w:eastAsia="Times New Roman" w:hAnsi="Times New Roman" w:cs="Times New Roman"/>
                <w:bCs/>
                <w:color w:val="0070C0"/>
                <w:sz w:val="20"/>
              </w:rPr>
              <w:t>…7200,00…………….zł za 1m2 brutto</w:t>
            </w:r>
          </w:p>
        </w:tc>
      </w:tr>
      <w:tr w:rsidR="001C505B">
        <w:trPr>
          <w:trHeight w:val="3369"/>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rsidR="001C505B" w:rsidRDefault="00E81E84">
            <w:pPr>
              <w:spacing w:line="277" w:lineRule="auto"/>
              <w:ind w:right="50"/>
            </w:pPr>
            <w:r>
              <w:rPr>
                <w:rFonts w:ascii="Times New Roman" w:eastAsia="Times New Roman" w:hAnsi="Times New Roman" w:cs="Times New Roman"/>
                <w:sz w:val="20"/>
              </w:rPr>
              <w:t xml:space="preserve">Termin, do którego nastąpi przeniesienie prawa własności nieruchomości wynikającego z umowy deweloperskiej lub jednej z umów, o których mowa w art. 2 ust. 1 pkt 2, 3 lub 5 lub ust. 2 ustawy z dnia 20 maja 2021 r. o ochronie praw nabywcy lokalu mieszkalnego lub domu jednorodzinnego </w:t>
            </w:r>
          </w:p>
          <w:p w:rsidR="001C505B" w:rsidRDefault="00E81E84">
            <w:pPr>
              <w:spacing w:after="13"/>
            </w:pPr>
            <w:r>
              <w:rPr>
                <w:rFonts w:ascii="Times New Roman" w:eastAsia="Times New Roman" w:hAnsi="Times New Roman" w:cs="Times New Roman"/>
                <w:sz w:val="20"/>
              </w:rPr>
              <w:t xml:space="preserve">oraz Deweloperskim Funduszu </w:t>
            </w:r>
          </w:p>
          <w:p w:rsidR="001C505B" w:rsidRDefault="00E81E84">
            <w:r>
              <w:rPr>
                <w:rFonts w:ascii="Times New Roman" w:eastAsia="Times New Roman" w:hAnsi="Times New Roman" w:cs="Times New Roman"/>
                <w:sz w:val="20"/>
              </w:rPr>
              <w:t xml:space="preserve">Gwarancyjnym </w:t>
            </w:r>
          </w:p>
        </w:tc>
        <w:tc>
          <w:tcPr>
            <w:tcW w:w="6675" w:type="dxa"/>
            <w:gridSpan w:val="2"/>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 </w:t>
            </w:r>
            <w:r w:rsidR="009806F0" w:rsidRPr="009806F0">
              <w:rPr>
                <w:rFonts w:ascii="Times New Roman" w:eastAsia="Times New Roman" w:hAnsi="Times New Roman" w:cs="Times New Roman"/>
                <w:color w:val="0070C0"/>
                <w:sz w:val="20"/>
              </w:rPr>
              <w:t>Po zapłacie przez Nabywcę na rzecz Dewelopera całości kwot opisanych w umowie, w sposób i na zasadach w niej określonych, w terminie najpóźniej do dnia …28.02.2027…………………….</w:t>
            </w:r>
          </w:p>
        </w:tc>
      </w:tr>
      <w:tr w:rsidR="001C505B">
        <w:trPr>
          <w:trHeight w:val="580"/>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rsidR="001C505B" w:rsidRDefault="00E81E84">
            <w:pPr>
              <w:ind w:right="84"/>
            </w:pPr>
            <w:r>
              <w:rPr>
                <w:rFonts w:ascii="Times New Roman" w:eastAsia="Times New Roman" w:hAnsi="Times New Roman" w:cs="Times New Roman"/>
                <w:sz w:val="20"/>
              </w:rPr>
              <w:t xml:space="preserve">Określenie położenia oraz istotnych cech domu </w:t>
            </w:r>
            <w:r>
              <w:rPr>
                <w:rFonts w:ascii="Times New Roman" w:eastAsia="Times New Roman" w:hAnsi="Times New Roman" w:cs="Times New Roman"/>
                <w:sz w:val="20"/>
              </w:rPr>
              <w:lastRenderedPageBreak/>
              <w:t xml:space="preserve">jednorodzinnego albo budynku, w którym ma znajdować się lokal mieszkalny będący przedmiotem umowy rezerwacyjnej albo umowy deweloperskiej lub jednej z umów, o których mowa w art. 2 ust. 1 pkt 2, 3 lub 5 lub ust. 2 ustawy z dnia 20 maja 2021 r. o ochronie praw nabywcy lokalu mieszkalnego lub domu </w:t>
            </w:r>
          </w:p>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lastRenderedPageBreak/>
              <w:t xml:space="preserve">Liczba kondygnacji </w:t>
            </w:r>
          </w:p>
        </w:tc>
        <w:tc>
          <w:tcPr>
            <w:tcW w:w="3419" w:type="dxa"/>
            <w:tcBorders>
              <w:top w:val="single" w:sz="4" w:space="0" w:color="000000"/>
              <w:left w:val="single" w:sz="4" w:space="0" w:color="000000"/>
              <w:bottom w:val="single" w:sz="4" w:space="0" w:color="000000"/>
              <w:right w:val="single" w:sz="4" w:space="0" w:color="000000"/>
            </w:tcBorders>
          </w:tcPr>
          <w:p w:rsidR="001C505B" w:rsidRDefault="00E81E84">
            <w:pPr>
              <w:ind w:left="1"/>
            </w:pPr>
            <w:r>
              <w:rPr>
                <w:rFonts w:ascii="Times New Roman" w:eastAsia="Times New Roman" w:hAnsi="Times New Roman" w:cs="Times New Roman"/>
                <w:sz w:val="20"/>
              </w:rPr>
              <w:t xml:space="preserve"> </w:t>
            </w:r>
            <w:r w:rsidR="009806F0" w:rsidRPr="009806F0">
              <w:rPr>
                <w:rFonts w:ascii="Times New Roman" w:eastAsia="Times New Roman" w:hAnsi="Times New Roman" w:cs="Times New Roman"/>
                <w:color w:val="0070C0"/>
                <w:sz w:val="20"/>
              </w:rPr>
              <w:t>4</w:t>
            </w:r>
          </w:p>
        </w:tc>
      </w:tr>
      <w:tr w:rsidR="001C505B">
        <w:trPr>
          <w:trHeight w:val="577"/>
        </w:trPr>
        <w:tc>
          <w:tcPr>
            <w:tcW w:w="0" w:type="auto"/>
            <w:vMerge/>
            <w:tcBorders>
              <w:top w:val="nil"/>
              <w:left w:val="single" w:sz="4" w:space="0" w:color="000000"/>
              <w:bottom w:val="nil"/>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Technologia wykonania </w:t>
            </w:r>
          </w:p>
        </w:tc>
        <w:tc>
          <w:tcPr>
            <w:tcW w:w="3419" w:type="dxa"/>
            <w:tcBorders>
              <w:top w:val="single" w:sz="4" w:space="0" w:color="000000"/>
              <w:left w:val="single" w:sz="4" w:space="0" w:color="000000"/>
              <w:bottom w:val="single" w:sz="4" w:space="0" w:color="000000"/>
              <w:right w:val="single" w:sz="4" w:space="0" w:color="000000"/>
            </w:tcBorders>
          </w:tcPr>
          <w:p w:rsidR="009806F0" w:rsidRDefault="00E81E84">
            <w:pPr>
              <w:ind w:left="1"/>
            </w:pPr>
            <w:r>
              <w:rPr>
                <w:rFonts w:ascii="Times New Roman" w:eastAsia="Times New Roman" w:hAnsi="Times New Roman" w:cs="Times New Roman"/>
                <w:sz w:val="20"/>
              </w:rPr>
              <w:t xml:space="preserve"> </w:t>
            </w:r>
          </w:p>
          <w:p w:rsidR="009806F0" w:rsidRDefault="009806F0" w:rsidP="009806F0">
            <w:pPr>
              <w:pStyle w:val="Akapitzlist"/>
              <w:numPr>
                <w:ilvl w:val="0"/>
                <w:numId w:val="22"/>
              </w:numPr>
              <w:spacing w:line="276" w:lineRule="auto"/>
              <w:rPr>
                <w:color w:val="4472C4" w:themeColor="accent1"/>
                <w:u w:val="single"/>
              </w:rPr>
            </w:pPr>
            <w:r>
              <w:rPr>
                <w:color w:val="4472C4" w:themeColor="accent1"/>
                <w:u w:val="single"/>
              </w:rPr>
              <w:t>Standard wykończenia budynku i lokali</w:t>
            </w:r>
          </w:p>
          <w:p w:rsidR="009806F0" w:rsidRDefault="009806F0" w:rsidP="009806F0">
            <w:pPr>
              <w:pStyle w:val="Akapitzlist"/>
              <w:numPr>
                <w:ilvl w:val="0"/>
                <w:numId w:val="23"/>
              </w:numPr>
              <w:spacing w:line="276" w:lineRule="auto"/>
              <w:rPr>
                <w:color w:val="4472C4" w:themeColor="accent1"/>
              </w:rPr>
            </w:pPr>
            <w:r>
              <w:rPr>
                <w:color w:val="4472C4" w:themeColor="accent1"/>
              </w:rPr>
              <w:t>ławy i ściany fundamentowe, żelbetowe oraz murowane z bloczków betonowych,</w:t>
            </w:r>
          </w:p>
          <w:p w:rsidR="009806F0" w:rsidRDefault="009806F0" w:rsidP="009806F0">
            <w:pPr>
              <w:pStyle w:val="Akapitzlist"/>
              <w:numPr>
                <w:ilvl w:val="0"/>
                <w:numId w:val="23"/>
              </w:numPr>
              <w:spacing w:line="276" w:lineRule="auto"/>
              <w:rPr>
                <w:color w:val="4472C4" w:themeColor="accent1"/>
              </w:rPr>
            </w:pPr>
            <w:r>
              <w:rPr>
                <w:color w:val="4472C4" w:themeColor="accent1"/>
              </w:rPr>
              <w:t>ściany przyziemia i kondygnacji mieszkalnych murowane ceramiczne, ocieplone styropianem gr. 20 cm.</w:t>
            </w:r>
          </w:p>
          <w:p w:rsidR="009806F0" w:rsidRDefault="009806F0" w:rsidP="009806F0">
            <w:pPr>
              <w:pStyle w:val="Akapitzlist"/>
              <w:numPr>
                <w:ilvl w:val="0"/>
                <w:numId w:val="23"/>
              </w:numPr>
              <w:spacing w:line="276" w:lineRule="auto"/>
              <w:rPr>
                <w:color w:val="4472C4" w:themeColor="accent1"/>
                <w:lang w:val="en-US"/>
              </w:rPr>
            </w:pPr>
            <w:r>
              <w:rPr>
                <w:color w:val="4472C4" w:themeColor="accent1"/>
              </w:rPr>
              <w:t xml:space="preserve">stropy płytowe żelbetowe </w:t>
            </w:r>
            <w:proofErr w:type="spellStart"/>
            <w:r>
              <w:rPr>
                <w:color w:val="4472C4" w:themeColor="accent1"/>
              </w:rPr>
              <w:t>gęstożebrowe</w:t>
            </w:r>
            <w:proofErr w:type="spellEnd"/>
            <w:r>
              <w:rPr>
                <w:color w:val="4472C4" w:themeColor="accent1"/>
              </w:rPr>
              <w:t>,</w:t>
            </w:r>
          </w:p>
          <w:p w:rsidR="009806F0" w:rsidRDefault="009806F0" w:rsidP="009806F0">
            <w:pPr>
              <w:pStyle w:val="Akapitzlist"/>
              <w:numPr>
                <w:ilvl w:val="0"/>
                <w:numId w:val="23"/>
              </w:numPr>
              <w:spacing w:line="276" w:lineRule="auto"/>
              <w:rPr>
                <w:color w:val="4472C4" w:themeColor="accent1"/>
              </w:rPr>
            </w:pPr>
            <w:r>
              <w:rPr>
                <w:color w:val="4472C4" w:themeColor="accent1"/>
              </w:rPr>
              <w:t>stropodach płaski, ocieplony styropianem, pokryty papą,</w:t>
            </w:r>
          </w:p>
          <w:p w:rsidR="009806F0" w:rsidRDefault="009806F0" w:rsidP="009806F0">
            <w:pPr>
              <w:pStyle w:val="Akapitzlist"/>
              <w:numPr>
                <w:ilvl w:val="0"/>
                <w:numId w:val="23"/>
              </w:numPr>
              <w:spacing w:line="276" w:lineRule="auto"/>
              <w:rPr>
                <w:color w:val="4472C4" w:themeColor="accent1"/>
              </w:rPr>
            </w:pPr>
            <w:r>
              <w:rPr>
                <w:color w:val="4472C4" w:themeColor="accent1"/>
              </w:rPr>
              <w:t>schody i balkony żelbetowe wylewane na mokro, balustrady metalowe,</w:t>
            </w:r>
          </w:p>
          <w:p w:rsidR="009806F0" w:rsidRDefault="009806F0" w:rsidP="009806F0">
            <w:pPr>
              <w:pStyle w:val="Akapitzlist"/>
              <w:numPr>
                <w:ilvl w:val="0"/>
                <w:numId w:val="23"/>
              </w:numPr>
              <w:spacing w:line="276" w:lineRule="auto"/>
              <w:rPr>
                <w:color w:val="4472C4" w:themeColor="accent1"/>
              </w:rPr>
            </w:pPr>
            <w:r>
              <w:rPr>
                <w:color w:val="4472C4" w:themeColor="accent1"/>
              </w:rPr>
              <w:t>rynny i rury spustowe z blachy lakierowanej,</w:t>
            </w:r>
          </w:p>
          <w:p w:rsidR="009806F0" w:rsidRDefault="009806F0" w:rsidP="009806F0">
            <w:pPr>
              <w:pStyle w:val="Akapitzlist"/>
              <w:numPr>
                <w:ilvl w:val="0"/>
                <w:numId w:val="23"/>
              </w:numPr>
              <w:spacing w:line="276" w:lineRule="auto"/>
              <w:rPr>
                <w:color w:val="4472C4" w:themeColor="accent1"/>
              </w:rPr>
            </w:pPr>
            <w:r>
              <w:rPr>
                <w:color w:val="4472C4" w:themeColor="accent1"/>
              </w:rPr>
              <w:t>okna i drzwi balkonowe PCV, balustrady balkonowe stalowe,</w:t>
            </w:r>
          </w:p>
          <w:p w:rsidR="009806F0" w:rsidRDefault="009806F0" w:rsidP="009806F0">
            <w:pPr>
              <w:pStyle w:val="Akapitzlist"/>
              <w:numPr>
                <w:ilvl w:val="0"/>
                <w:numId w:val="23"/>
              </w:numPr>
              <w:spacing w:line="276" w:lineRule="auto"/>
              <w:rPr>
                <w:color w:val="4472C4" w:themeColor="accent1"/>
              </w:rPr>
            </w:pPr>
            <w:r>
              <w:rPr>
                <w:color w:val="4472C4" w:themeColor="accent1"/>
              </w:rPr>
              <w:t>do mieszkań drzwi drewniane z zabezpieczeniem antywłamaniowym, z wizjerem i dwoma zamkami, drzwi wewnątrzlokalowe po stronie nabywcy,</w:t>
            </w:r>
          </w:p>
          <w:p w:rsidR="009806F0" w:rsidRDefault="009806F0" w:rsidP="009806F0">
            <w:pPr>
              <w:pStyle w:val="Akapitzlist"/>
              <w:numPr>
                <w:ilvl w:val="0"/>
                <w:numId w:val="23"/>
              </w:numPr>
              <w:spacing w:line="276" w:lineRule="auto"/>
              <w:rPr>
                <w:color w:val="4472C4" w:themeColor="accent1"/>
              </w:rPr>
            </w:pPr>
            <w:r>
              <w:rPr>
                <w:color w:val="4472C4" w:themeColor="accent1"/>
              </w:rPr>
              <w:t xml:space="preserve">drzwi wejściowe do klatek schodowych aluminiowe z </w:t>
            </w:r>
            <w:proofErr w:type="spellStart"/>
            <w:r>
              <w:rPr>
                <w:color w:val="4472C4" w:themeColor="accent1"/>
              </w:rPr>
              <w:t>samodomykaczem</w:t>
            </w:r>
            <w:proofErr w:type="spellEnd"/>
            <w:r>
              <w:rPr>
                <w:color w:val="4472C4" w:themeColor="accent1"/>
              </w:rPr>
              <w:t>,</w:t>
            </w:r>
          </w:p>
          <w:p w:rsidR="009806F0" w:rsidRDefault="009806F0" w:rsidP="009806F0">
            <w:pPr>
              <w:pStyle w:val="Akapitzlist"/>
              <w:numPr>
                <w:ilvl w:val="0"/>
                <w:numId w:val="23"/>
              </w:numPr>
              <w:spacing w:line="276" w:lineRule="auto"/>
              <w:rPr>
                <w:color w:val="4472C4" w:themeColor="accent1"/>
              </w:rPr>
            </w:pPr>
            <w:r>
              <w:rPr>
                <w:color w:val="4472C4" w:themeColor="accent1"/>
              </w:rPr>
              <w:t>drzwi wewnętrzne w przyziemiu pełne, do komórek lokatorskich ażurowe,</w:t>
            </w:r>
          </w:p>
          <w:p w:rsidR="009806F0" w:rsidRDefault="009806F0" w:rsidP="009806F0">
            <w:pPr>
              <w:pStyle w:val="Akapitzlist"/>
              <w:numPr>
                <w:ilvl w:val="0"/>
                <w:numId w:val="23"/>
              </w:numPr>
              <w:spacing w:line="276" w:lineRule="auto"/>
              <w:rPr>
                <w:color w:val="4472C4" w:themeColor="accent1"/>
              </w:rPr>
            </w:pPr>
            <w:r>
              <w:rPr>
                <w:color w:val="4472C4" w:themeColor="accent1"/>
              </w:rPr>
              <w:t xml:space="preserve">bramy garażowe </w:t>
            </w:r>
            <w:r>
              <w:rPr>
                <w:color w:val="4472C4" w:themeColor="accent1"/>
              </w:rPr>
              <w:lastRenderedPageBreak/>
              <w:t>segmentowe wyposażone w napęd elektryczny,</w:t>
            </w:r>
          </w:p>
          <w:p w:rsidR="009806F0" w:rsidRDefault="009806F0" w:rsidP="009806F0">
            <w:pPr>
              <w:pStyle w:val="Akapitzlist"/>
              <w:numPr>
                <w:ilvl w:val="0"/>
                <w:numId w:val="23"/>
              </w:numPr>
              <w:spacing w:line="276" w:lineRule="auto"/>
              <w:rPr>
                <w:color w:val="4472C4" w:themeColor="accent1"/>
              </w:rPr>
            </w:pPr>
            <w:r>
              <w:rPr>
                <w:color w:val="4472C4" w:themeColor="accent1"/>
              </w:rPr>
              <w:t xml:space="preserve">klatki schodowe tynkowane z wyprawą gipsową, malowane farbami emulsyjnymi, posadzki z płytek </w:t>
            </w:r>
            <w:proofErr w:type="spellStart"/>
            <w:r>
              <w:rPr>
                <w:color w:val="4472C4" w:themeColor="accent1"/>
              </w:rPr>
              <w:t>gresowych</w:t>
            </w:r>
            <w:proofErr w:type="spellEnd"/>
            <w:r>
              <w:rPr>
                <w:color w:val="4472C4" w:themeColor="accent1"/>
              </w:rPr>
              <w:t>,</w:t>
            </w:r>
          </w:p>
          <w:p w:rsidR="009806F0" w:rsidRDefault="009806F0" w:rsidP="009806F0">
            <w:pPr>
              <w:pStyle w:val="Akapitzlist"/>
              <w:numPr>
                <w:ilvl w:val="0"/>
                <w:numId w:val="23"/>
              </w:numPr>
              <w:spacing w:line="276" w:lineRule="auto"/>
              <w:rPr>
                <w:color w:val="4472C4" w:themeColor="accent1"/>
              </w:rPr>
            </w:pPr>
            <w:r>
              <w:rPr>
                <w:color w:val="4472C4" w:themeColor="accent1"/>
              </w:rPr>
              <w:t>w lokalach mieszkalnych posadzki betonowe ułożone na warstwie styropianu i folii paroizolacyjnej, podłogi po stronie nabywcy,</w:t>
            </w:r>
          </w:p>
          <w:p w:rsidR="009806F0" w:rsidRDefault="009806F0" w:rsidP="009806F0">
            <w:pPr>
              <w:pStyle w:val="Akapitzlist"/>
              <w:numPr>
                <w:ilvl w:val="0"/>
                <w:numId w:val="23"/>
              </w:numPr>
              <w:spacing w:line="276" w:lineRule="auto"/>
              <w:rPr>
                <w:color w:val="4472C4" w:themeColor="accent1"/>
                <w:lang w:val="en-US"/>
              </w:rPr>
            </w:pPr>
            <w:r>
              <w:rPr>
                <w:color w:val="4472C4" w:themeColor="accent1"/>
              </w:rPr>
              <w:t>balkony wyłożone płytami betonowymi,</w:t>
            </w:r>
          </w:p>
          <w:p w:rsidR="009806F0" w:rsidRDefault="009806F0" w:rsidP="009806F0">
            <w:pPr>
              <w:pStyle w:val="Akapitzlist"/>
              <w:numPr>
                <w:ilvl w:val="0"/>
                <w:numId w:val="23"/>
              </w:numPr>
              <w:spacing w:line="276" w:lineRule="auto"/>
              <w:rPr>
                <w:color w:val="4472C4" w:themeColor="accent1"/>
              </w:rPr>
            </w:pPr>
            <w:r>
              <w:rPr>
                <w:color w:val="4472C4" w:themeColor="accent1"/>
              </w:rPr>
              <w:t>klatki schodowe wyposażone w instalację elektryczną oświetleniową z oprawami typu LED,</w:t>
            </w:r>
          </w:p>
          <w:p w:rsidR="009806F0" w:rsidRDefault="009806F0" w:rsidP="009806F0">
            <w:pPr>
              <w:pStyle w:val="Akapitzlist"/>
              <w:numPr>
                <w:ilvl w:val="0"/>
                <w:numId w:val="23"/>
              </w:numPr>
              <w:spacing w:line="276" w:lineRule="auto"/>
              <w:rPr>
                <w:color w:val="4472C4" w:themeColor="accent1"/>
              </w:rPr>
            </w:pPr>
            <w:r>
              <w:rPr>
                <w:color w:val="4472C4" w:themeColor="accent1"/>
              </w:rPr>
              <w:t>w mieszkaniach instalacja oświetleniowa oraz gniazda wtykowe, instalacja domofonowa, instalacja telefoniczna i internetowa,</w:t>
            </w:r>
          </w:p>
          <w:p w:rsidR="009806F0" w:rsidRDefault="009806F0" w:rsidP="009806F0">
            <w:pPr>
              <w:pStyle w:val="Akapitzlist"/>
              <w:numPr>
                <w:ilvl w:val="0"/>
                <w:numId w:val="23"/>
              </w:numPr>
              <w:spacing w:line="276" w:lineRule="auto"/>
              <w:rPr>
                <w:color w:val="4472C4" w:themeColor="accent1"/>
              </w:rPr>
            </w:pPr>
            <w:r>
              <w:rPr>
                <w:color w:val="4472C4" w:themeColor="accent1"/>
              </w:rPr>
              <w:t>budynek wyposażony w instalację odgromową,</w:t>
            </w:r>
          </w:p>
          <w:p w:rsidR="009806F0" w:rsidRDefault="009806F0" w:rsidP="009806F0">
            <w:pPr>
              <w:pStyle w:val="Akapitzlist"/>
              <w:numPr>
                <w:ilvl w:val="0"/>
                <w:numId w:val="23"/>
              </w:numPr>
              <w:spacing w:line="276" w:lineRule="auto"/>
              <w:rPr>
                <w:color w:val="4472C4" w:themeColor="accent1"/>
              </w:rPr>
            </w:pPr>
            <w:r>
              <w:rPr>
                <w:color w:val="4472C4" w:themeColor="accent1"/>
              </w:rPr>
              <w:t>lokale wyposażone w podejścia wody i kanalizacji, biały montaż po stronie nabywcy,</w:t>
            </w:r>
          </w:p>
          <w:p w:rsidR="009806F0" w:rsidRDefault="009806F0" w:rsidP="009806F0">
            <w:pPr>
              <w:pStyle w:val="Akapitzlist"/>
              <w:numPr>
                <w:ilvl w:val="0"/>
                <w:numId w:val="23"/>
              </w:numPr>
              <w:spacing w:line="276" w:lineRule="auto"/>
              <w:rPr>
                <w:color w:val="4472C4" w:themeColor="accent1"/>
              </w:rPr>
            </w:pPr>
            <w:r>
              <w:rPr>
                <w:color w:val="4472C4" w:themeColor="accent1"/>
              </w:rPr>
              <w:t>lokale wyposażone w instalację gazową do celów komunalnych i grzewczą,</w:t>
            </w:r>
          </w:p>
          <w:p w:rsidR="009806F0" w:rsidRDefault="009806F0" w:rsidP="009806F0">
            <w:pPr>
              <w:pStyle w:val="Akapitzlist"/>
              <w:numPr>
                <w:ilvl w:val="0"/>
                <w:numId w:val="23"/>
              </w:numPr>
              <w:spacing w:line="276" w:lineRule="auto"/>
              <w:rPr>
                <w:color w:val="4472C4" w:themeColor="accent1"/>
              </w:rPr>
            </w:pPr>
            <w:r>
              <w:rPr>
                <w:color w:val="4472C4" w:themeColor="accent1"/>
              </w:rPr>
              <w:t>każdy lokal wyposażony w piec gazowy dwufunkcyjny i instalację c.o.</w:t>
            </w:r>
          </w:p>
          <w:p w:rsidR="009806F0" w:rsidRDefault="009806F0" w:rsidP="009806F0">
            <w:pPr>
              <w:pStyle w:val="Akapitzlist"/>
              <w:ind w:left="1080"/>
              <w:rPr>
                <w:color w:val="4472C4" w:themeColor="accent1"/>
              </w:rPr>
            </w:pPr>
            <w:r>
              <w:rPr>
                <w:color w:val="4472C4" w:themeColor="accent1"/>
              </w:rPr>
              <w:t>ogrzewanie podłogowe</w:t>
            </w:r>
          </w:p>
          <w:p w:rsidR="009806F0" w:rsidRDefault="009806F0" w:rsidP="009806F0">
            <w:pPr>
              <w:spacing w:line="240" w:lineRule="auto"/>
              <w:ind w:left="720"/>
              <w:contextualSpacing/>
              <w:rPr>
                <w:color w:val="4472C4" w:themeColor="accent1"/>
              </w:rPr>
            </w:pPr>
          </w:p>
          <w:p w:rsidR="009806F0" w:rsidRDefault="009806F0" w:rsidP="009806F0">
            <w:pPr>
              <w:pStyle w:val="Akapitzlist"/>
              <w:ind w:left="1080"/>
              <w:rPr>
                <w:color w:val="4472C4" w:themeColor="accent1"/>
              </w:rPr>
            </w:pPr>
          </w:p>
          <w:p w:rsidR="009806F0" w:rsidRDefault="009806F0" w:rsidP="009806F0">
            <w:pPr>
              <w:pStyle w:val="Akapitzlist"/>
              <w:numPr>
                <w:ilvl w:val="0"/>
                <w:numId w:val="22"/>
              </w:numPr>
              <w:spacing w:line="276" w:lineRule="auto"/>
              <w:rPr>
                <w:color w:val="4472C4" w:themeColor="accent1"/>
                <w:u w:val="single"/>
                <w:lang w:val="en-US"/>
              </w:rPr>
            </w:pPr>
            <w:r>
              <w:rPr>
                <w:color w:val="4472C4" w:themeColor="accent1"/>
                <w:u w:val="single"/>
              </w:rPr>
              <w:t>Drogi, parkingi, chodniki:</w:t>
            </w:r>
          </w:p>
          <w:p w:rsidR="009806F0" w:rsidRDefault="009806F0" w:rsidP="009806F0">
            <w:pPr>
              <w:pStyle w:val="Akapitzlist"/>
              <w:numPr>
                <w:ilvl w:val="0"/>
                <w:numId w:val="24"/>
              </w:numPr>
              <w:spacing w:line="276" w:lineRule="auto"/>
              <w:rPr>
                <w:color w:val="4472C4" w:themeColor="accent1"/>
              </w:rPr>
            </w:pPr>
            <w:r>
              <w:rPr>
                <w:color w:val="4472C4" w:themeColor="accent1"/>
              </w:rPr>
              <w:t>podbudowa betonowa ułożona na warstwie podsypki piaskowej,</w:t>
            </w:r>
          </w:p>
          <w:p w:rsidR="009806F0" w:rsidRDefault="009806F0" w:rsidP="009806F0">
            <w:pPr>
              <w:pStyle w:val="Akapitzlist"/>
              <w:numPr>
                <w:ilvl w:val="0"/>
                <w:numId w:val="24"/>
              </w:numPr>
              <w:spacing w:line="276" w:lineRule="auto"/>
              <w:rPr>
                <w:color w:val="4472C4" w:themeColor="accent1"/>
              </w:rPr>
            </w:pPr>
            <w:r>
              <w:rPr>
                <w:color w:val="4472C4" w:themeColor="accent1"/>
              </w:rPr>
              <w:t>krawężniki betonowe 15/30 cm ułożone na ławie betonowej,</w:t>
            </w:r>
          </w:p>
          <w:p w:rsidR="009806F0" w:rsidRDefault="009806F0" w:rsidP="009806F0">
            <w:pPr>
              <w:pStyle w:val="Akapitzlist"/>
              <w:numPr>
                <w:ilvl w:val="0"/>
                <w:numId w:val="24"/>
              </w:numPr>
              <w:spacing w:line="276" w:lineRule="auto"/>
              <w:rPr>
                <w:color w:val="4472C4" w:themeColor="accent1"/>
              </w:rPr>
            </w:pPr>
            <w:r>
              <w:rPr>
                <w:color w:val="4472C4" w:themeColor="accent1"/>
              </w:rPr>
              <w:t>obrzeża betonowe 8x30 cm ułożone na podsypce cementowo-piaskowej,</w:t>
            </w:r>
          </w:p>
          <w:p w:rsidR="009806F0" w:rsidRDefault="009806F0" w:rsidP="009806F0">
            <w:pPr>
              <w:pStyle w:val="Akapitzlist"/>
              <w:numPr>
                <w:ilvl w:val="0"/>
                <w:numId w:val="24"/>
              </w:numPr>
              <w:spacing w:line="276" w:lineRule="auto"/>
              <w:rPr>
                <w:color w:val="4472C4" w:themeColor="accent1"/>
              </w:rPr>
            </w:pPr>
            <w:r>
              <w:rPr>
                <w:color w:val="4472C4" w:themeColor="accent1"/>
              </w:rPr>
              <w:t>drogi, parkingi i chodniki z kostki brukowej betonowej, szarej, gr. 8 cm, ułożone na podsypce piaskowej,</w:t>
            </w:r>
          </w:p>
          <w:p w:rsidR="009806F0" w:rsidRDefault="009806F0" w:rsidP="009806F0">
            <w:pPr>
              <w:pStyle w:val="Akapitzlist"/>
              <w:numPr>
                <w:ilvl w:val="0"/>
                <w:numId w:val="24"/>
              </w:numPr>
              <w:spacing w:line="276" w:lineRule="auto"/>
              <w:rPr>
                <w:color w:val="4472C4" w:themeColor="accent1"/>
              </w:rPr>
            </w:pPr>
            <w:r>
              <w:rPr>
                <w:color w:val="4472C4" w:themeColor="accent1"/>
              </w:rPr>
              <w:t>oświetlenie zewnętrzne za pomocą okablowania podziemnego i słupów oświetleniowych,</w:t>
            </w:r>
          </w:p>
          <w:p w:rsidR="009806F0" w:rsidRDefault="009806F0" w:rsidP="009806F0">
            <w:pPr>
              <w:pStyle w:val="Akapitzlist"/>
              <w:numPr>
                <w:ilvl w:val="0"/>
                <w:numId w:val="24"/>
              </w:numPr>
              <w:spacing w:line="276" w:lineRule="auto"/>
              <w:rPr>
                <w:color w:val="4472C4" w:themeColor="accent1"/>
              </w:rPr>
            </w:pPr>
            <w:r>
              <w:rPr>
                <w:color w:val="4472C4" w:themeColor="accent1"/>
              </w:rPr>
              <w:t xml:space="preserve">teren odwodniony za pomocą wpustów do kanalizacji deszczowej doprowadzonej do studni </w:t>
            </w:r>
            <w:proofErr w:type="spellStart"/>
            <w:r>
              <w:rPr>
                <w:color w:val="4472C4" w:themeColor="accent1"/>
              </w:rPr>
              <w:t>rozsączalnych</w:t>
            </w:r>
            <w:proofErr w:type="spellEnd"/>
            <w:r>
              <w:rPr>
                <w:color w:val="4472C4" w:themeColor="accent1"/>
              </w:rPr>
              <w:t>.</w:t>
            </w:r>
          </w:p>
          <w:p w:rsidR="001C505B" w:rsidRDefault="001C505B">
            <w:pPr>
              <w:ind w:left="1"/>
            </w:pPr>
          </w:p>
        </w:tc>
      </w:tr>
      <w:tr w:rsidR="001C505B">
        <w:trPr>
          <w:trHeight w:val="2153"/>
        </w:trPr>
        <w:tc>
          <w:tcPr>
            <w:tcW w:w="0" w:type="auto"/>
            <w:vMerge/>
            <w:tcBorders>
              <w:top w:val="nil"/>
              <w:left w:val="single" w:sz="4" w:space="0" w:color="000000"/>
              <w:bottom w:val="single" w:sz="4" w:space="0" w:color="000000"/>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right="165"/>
            </w:pPr>
            <w:r>
              <w:rPr>
                <w:rFonts w:ascii="Times New Roman" w:eastAsia="Times New Roman" w:hAnsi="Times New Roman" w:cs="Times New Roman"/>
                <w:sz w:val="20"/>
              </w:rPr>
              <w:t xml:space="preserve">Standard prac wykończeniowych w części wspólnej budynku i terenie wokół niego, stanowiącym część wspólną nieruchomości </w:t>
            </w:r>
          </w:p>
        </w:tc>
        <w:tc>
          <w:tcPr>
            <w:tcW w:w="3419" w:type="dxa"/>
            <w:tcBorders>
              <w:top w:val="single" w:sz="4" w:space="0" w:color="000000"/>
              <w:left w:val="single" w:sz="4" w:space="0" w:color="000000"/>
              <w:bottom w:val="single" w:sz="4" w:space="0" w:color="000000"/>
              <w:right w:val="single" w:sz="4" w:space="0" w:color="000000"/>
            </w:tcBorders>
          </w:tcPr>
          <w:p w:rsidR="001C505B" w:rsidRPr="009806F0" w:rsidRDefault="00E81E84">
            <w:pPr>
              <w:ind w:left="1"/>
              <w:rPr>
                <w:color w:val="0070C0"/>
              </w:rPr>
            </w:pPr>
            <w:r w:rsidRPr="009806F0">
              <w:rPr>
                <w:rFonts w:ascii="Times New Roman" w:eastAsia="Times New Roman" w:hAnsi="Times New Roman" w:cs="Times New Roman"/>
                <w:color w:val="0070C0"/>
                <w:sz w:val="20"/>
              </w:rPr>
              <w:t xml:space="preserve"> </w:t>
            </w:r>
            <w:r w:rsidR="009806F0" w:rsidRPr="009806F0">
              <w:rPr>
                <w:rFonts w:ascii="Times New Roman" w:eastAsia="Times New Roman" w:hAnsi="Times New Roman" w:cs="Times New Roman"/>
                <w:color w:val="0070C0"/>
                <w:sz w:val="20"/>
              </w:rPr>
              <w:t xml:space="preserve">Zgodnie ze standardami wykonania części wspólnej budynku i terenu wokół niego, będącego częścią wspólną nieruchomości, stanowiącymi </w:t>
            </w:r>
            <w:r w:rsidR="009806F0" w:rsidRPr="009806F0">
              <w:rPr>
                <w:rFonts w:ascii="Times New Roman" w:eastAsia="Times New Roman" w:hAnsi="Times New Roman" w:cs="Times New Roman"/>
                <w:color w:val="0070C0"/>
                <w:sz w:val="20"/>
                <w:u w:val="single"/>
              </w:rPr>
              <w:t>załącznik nr 2</w:t>
            </w:r>
            <w:r w:rsidR="009806F0" w:rsidRPr="009806F0">
              <w:rPr>
                <w:rFonts w:ascii="Times New Roman" w:eastAsia="Times New Roman" w:hAnsi="Times New Roman" w:cs="Times New Roman"/>
                <w:color w:val="0070C0"/>
                <w:sz w:val="20"/>
              </w:rPr>
              <w:t xml:space="preserve"> do niniejszego prospektu</w:t>
            </w:r>
          </w:p>
        </w:tc>
      </w:tr>
      <w:tr w:rsidR="001C505B">
        <w:trPr>
          <w:trHeight w:val="457"/>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rsidR="001C505B" w:rsidRDefault="00E81E84">
            <w:pPr>
              <w:spacing w:after="1" w:line="273" w:lineRule="auto"/>
              <w:jc w:val="both"/>
            </w:pPr>
            <w:r>
              <w:rPr>
                <w:rFonts w:ascii="Times New Roman" w:eastAsia="Times New Roman" w:hAnsi="Times New Roman" w:cs="Times New Roman"/>
                <w:sz w:val="20"/>
              </w:rPr>
              <w:t xml:space="preserve">jednorodzinnego oraz Deweloperskim Funduszu </w:t>
            </w:r>
          </w:p>
          <w:p w:rsidR="001C505B" w:rsidRDefault="00E81E84">
            <w:r>
              <w:rPr>
                <w:rFonts w:ascii="Times New Roman" w:eastAsia="Times New Roman" w:hAnsi="Times New Roman" w:cs="Times New Roman"/>
                <w:sz w:val="20"/>
              </w:rPr>
              <w:t xml:space="preserve">Gwarancyjnym </w:t>
            </w:r>
          </w:p>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Liczba lokali w budynku </w:t>
            </w:r>
          </w:p>
        </w:tc>
        <w:tc>
          <w:tcPr>
            <w:tcW w:w="3419" w:type="dxa"/>
            <w:tcBorders>
              <w:top w:val="single" w:sz="4" w:space="0" w:color="000000"/>
              <w:left w:val="single" w:sz="4" w:space="0" w:color="000000"/>
              <w:bottom w:val="single" w:sz="4" w:space="0" w:color="000000"/>
              <w:right w:val="single" w:sz="4" w:space="0" w:color="000000"/>
            </w:tcBorders>
          </w:tcPr>
          <w:p w:rsidR="001C505B" w:rsidRPr="009806F0" w:rsidRDefault="00E81E84">
            <w:pPr>
              <w:ind w:left="1"/>
              <w:rPr>
                <w:color w:val="0070C0"/>
              </w:rPr>
            </w:pPr>
            <w:r w:rsidRPr="009806F0">
              <w:rPr>
                <w:rFonts w:ascii="Times New Roman" w:eastAsia="Times New Roman" w:hAnsi="Times New Roman" w:cs="Times New Roman"/>
                <w:color w:val="0070C0"/>
                <w:sz w:val="20"/>
              </w:rPr>
              <w:t xml:space="preserve"> </w:t>
            </w:r>
            <w:r w:rsidR="009806F0" w:rsidRPr="009806F0">
              <w:rPr>
                <w:rFonts w:ascii="Times New Roman" w:eastAsia="Times New Roman" w:hAnsi="Times New Roman" w:cs="Times New Roman"/>
                <w:color w:val="0070C0"/>
                <w:sz w:val="20"/>
              </w:rPr>
              <w:t>18</w:t>
            </w:r>
          </w:p>
        </w:tc>
      </w:tr>
      <w:tr w:rsidR="001C505B">
        <w:trPr>
          <w:trHeight w:val="619"/>
        </w:trPr>
        <w:tc>
          <w:tcPr>
            <w:tcW w:w="0" w:type="auto"/>
            <w:vMerge/>
            <w:tcBorders>
              <w:top w:val="nil"/>
              <w:left w:val="single" w:sz="4" w:space="0" w:color="000000"/>
              <w:bottom w:val="nil"/>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right="798"/>
            </w:pPr>
            <w:r>
              <w:rPr>
                <w:rFonts w:ascii="Times New Roman" w:eastAsia="Times New Roman" w:hAnsi="Times New Roman" w:cs="Times New Roman"/>
                <w:sz w:val="20"/>
              </w:rPr>
              <w:t xml:space="preserve">Liczba miejsc garażowych i postojowych </w:t>
            </w:r>
          </w:p>
        </w:tc>
        <w:tc>
          <w:tcPr>
            <w:tcW w:w="3419" w:type="dxa"/>
            <w:tcBorders>
              <w:top w:val="single" w:sz="4" w:space="0" w:color="000000"/>
              <w:left w:val="single" w:sz="4" w:space="0" w:color="000000"/>
              <w:bottom w:val="single" w:sz="4" w:space="0" w:color="000000"/>
              <w:right w:val="single" w:sz="4" w:space="0" w:color="000000"/>
            </w:tcBorders>
          </w:tcPr>
          <w:p w:rsidR="009806F0" w:rsidRPr="009806F0" w:rsidRDefault="00E81E84" w:rsidP="009806F0">
            <w:pPr>
              <w:ind w:left="1"/>
              <w:rPr>
                <w:rFonts w:ascii="Times New Roman" w:eastAsia="Times New Roman" w:hAnsi="Times New Roman" w:cs="Times New Roman"/>
                <w:color w:val="0070C0"/>
                <w:sz w:val="20"/>
              </w:rPr>
            </w:pPr>
            <w:r w:rsidRPr="009806F0">
              <w:rPr>
                <w:rFonts w:ascii="Times New Roman" w:eastAsia="Times New Roman" w:hAnsi="Times New Roman" w:cs="Times New Roman"/>
                <w:color w:val="0070C0"/>
                <w:sz w:val="20"/>
              </w:rPr>
              <w:t xml:space="preserve"> </w:t>
            </w:r>
            <w:r w:rsidR="009806F0" w:rsidRPr="009806F0">
              <w:rPr>
                <w:rFonts w:ascii="Times New Roman" w:eastAsia="Times New Roman" w:hAnsi="Times New Roman" w:cs="Times New Roman"/>
                <w:color w:val="0070C0"/>
                <w:sz w:val="20"/>
              </w:rPr>
              <w:t>8 miejsc garażowych (0,44 na jeden lokal mieszkalny)</w:t>
            </w:r>
          </w:p>
          <w:p w:rsidR="001C505B" w:rsidRPr="009806F0" w:rsidRDefault="009806F0" w:rsidP="009806F0">
            <w:pPr>
              <w:ind w:left="1"/>
              <w:rPr>
                <w:color w:val="0070C0"/>
              </w:rPr>
            </w:pPr>
            <w:r w:rsidRPr="009806F0">
              <w:rPr>
                <w:rFonts w:ascii="Times New Roman" w:eastAsia="Times New Roman" w:hAnsi="Times New Roman" w:cs="Times New Roman"/>
                <w:color w:val="0070C0"/>
                <w:sz w:val="20"/>
              </w:rPr>
              <w:t>18 miejsc postojowych ( 0,72 na każdy lokal mieszkalny)</w:t>
            </w:r>
          </w:p>
        </w:tc>
      </w:tr>
      <w:tr w:rsidR="001C505B">
        <w:trPr>
          <w:trHeight w:val="491"/>
        </w:trPr>
        <w:tc>
          <w:tcPr>
            <w:tcW w:w="0" w:type="auto"/>
            <w:vMerge/>
            <w:tcBorders>
              <w:top w:val="nil"/>
              <w:left w:val="single" w:sz="4" w:space="0" w:color="000000"/>
              <w:bottom w:val="nil"/>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Dostępne media w budynku </w:t>
            </w:r>
          </w:p>
        </w:tc>
        <w:tc>
          <w:tcPr>
            <w:tcW w:w="3419" w:type="dxa"/>
            <w:tcBorders>
              <w:top w:val="single" w:sz="4" w:space="0" w:color="000000"/>
              <w:left w:val="single" w:sz="4" w:space="0" w:color="000000"/>
              <w:bottom w:val="single" w:sz="4" w:space="0" w:color="000000"/>
              <w:right w:val="single" w:sz="4" w:space="0" w:color="000000"/>
            </w:tcBorders>
          </w:tcPr>
          <w:p w:rsidR="001C505B" w:rsidRPr="009806F0" w:rsidRDefault="00E81E84">
            <w:pPr>
              <w:ind w:left="1"/>
              <w:rPr>
                <w:color w:val="0070C0"/>
              </w:rPr>
            </w:pPr>
            <w:r w:rsidRPr="009806F0">
              <w:rPr>
                <w:rFonts w:ascii="Times New Roman" w:eastAsia="Times New Roman" w:hAnsi="Times New Roman" w:cs="Times New Roman"/>
                <w:color w:val="0070C0"/>
                <w:sz w:val="20"/>
              </w:rPr>
              <w:t xml:space="preserve"> </w:t>
            </w:r>
            <w:r w:rsidR="009806F0" w:rsidRPr="009806F0">
              <w:rPr>
                <w:rFonts w:ascii="Times New Roman" w:eastAsia="Times New Roman" w:hAnsi="Times New Roman" w:cs="Times New Roman"/>
                <w:color w:val="0070C0"/>
                <w:sz w:val="20"/>
              </w:rPr>
              <w:t>Woda z sieci miejskiej, elektryczność, centralne ogrzewanie, kanalizacja sanitarna grawitacyjna wpięta do sieci miejskiej, instalacja domofonowa,</w:t>
            </w:r>
          </w:p>
        </w:tc>
      </w:tr>
      <w:tr w:rsidR="001C505B">
        <w:trPr>
          <w:trHeight w:val="459"/>
        </w:trPr>
        <w:tc>
          <w:tcPr>
            <w:tcW w:w="0" w:type="auto"/>
            <w:vMerge/>
            <w:tcBorders>
              <w:top w:val="nil"/>
              <w:left w:val="single" w:sz="4" w:space="0" w:color="000000"/>
              <w:bottom w:val="single" w:sz="4" w:space="0" w:color="000000"/>
              <w:right w:val="single" w:sz="4" w:space="0" w:color="000000"/>
            </w:tcBorders>
          </w:tcPr>
          <w:p w:rsidR="001C505B" w:rsidRDefault="001C505B"/>
        </w:tc>
        <w:tc>
          <w:tcPr>
            <w:tcW w:w="3256" w:type="dxa"/>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Dostęp do drogi publicznej </w:t>
            </w:r>
          </w:p>
        </w:tc>
        <w:tc>
          <w:tcPr>
            <w:tcW w:w="3419" w:type="dxa"/>
            <w:tcBorders>
              <w:top w:val="single" w:sz="4" w:space="0" w:color="000000"/>
              <w:left w:val="single" w:sz="4" w:space="0" w:color="000000"/>
              <w:bottom w:val="single" w:sz="4" w:space="0" w:color="000000"/>
              <w:right w:val="single" w:sz="4" w:space="0" w:color="000000"/>
            </w:tcBorders>
          </w:tcPr>
          <w:p w:rsidR="001C505B" w:rsidRPr="009806F0" w:rsidRDefault="00E81E84">
            <w:pPr>
              <w:ind w:left="1"/>
              <w:rPr>
                <w:color w:val="0070C0"/>
              </w:rPr>
            </w:pPr>
            <w:r w:rsidRPr="009806F0">
              <w:rPr>
                <w:rFonts w:ascii="Times New Roman" w:eastAsia="Times New Roman" w:hAnsi="Times New Roman" w:cs="Times New Roman"/>
                <w:color w:val="0070C0"/>
                <w:sz w:val="20"/>
              </w:rPr>
              <w:t xml:space="preserve"> </w:t>
            </w:r>
            <w:r w:rsidR="009806F0" w:rsidRPr="009806F0">
              <w:rPr>
                <w:rFonts w:ascii="Times New Roman" w:eastAsia="Times New Roman" w:hAnsi="Times New Roman" w:cs="Times New Roman"/>
                <w:color w:val="0070C0"/>
                <w:sz w:val="20"/>
              </w:rPr>
              <w:t>Tak</w:t>
            </w:r>
          </w:p>
        </w:tc>
      </w:tr>
      <w:tr w:rsidR="001C505B">
        <w:trPr>
          <w:trHeight w:val="1516"/>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rsidR="001C505B" w:rsidRDefault="00E81E84">
            <w:r>
              <w:rPr>
                <w:rFonts w:ascii="Times New Roman" w:eastAsia="Times New Roman" w:hAnsi="Times New Roman" w:cs="Times New Roman"/>
                <w:sz w:val="20"/>
              </w:rPr>
              <w:lastRenderedPageBreak/>
              <w:t xml:space="preserve">Określenie usytuowania lokalu mieszkalnego w budynku, jeżeli przedsięwzięcie deweloperskie lub zadanie inwestycyjne dotyczy lokali mieszkalnych </w:t>
            </w:r>
          </w:p>
        </w:tc>
        <w:tc>
          <w:tcPr>
            <w:tcW w:w="6675" w:type="dxa"/>
            <w:gridSpan w:val="2"/>
            <w:tcBorders>
              <w:top w:val="single" w:sz="4" w:space="0" w:color="000000"/>
              <w:left w:val="single" w:sz="4" w:space="0" w:color="000000"/>
              <w:bottom w:val="single" w:sz="4" w:space="0" w:color="000000"/>
              <w:right w:val="single" w:sz="4" w:space="0" w:color="000000"/>
            </w:tcBorders>
          </w:tcPr>
          <w:p w:rsidR="001C505B" w:rsidRPr="009806F0" w:rsidRDefault="00E81E84">
            <w:pPr>
              <w:ind w:left="2"/>
              <w:rPr>
                <w:color w:val="0070C0"/>
              </w:rPr>
            </w:pPr>
            <w:r w:rsidRPr="009806F0">
              <w:rPr>
                <w:rFonts w:ascii="Times New Roman" w:eastAsia="Times New Roman" w:hAnsi="Times New Roman" w:cs="Times New Roman"/>
                <w:color w:val="0070C0"/>
                <w:sz w:val="20"/>
              </w:rPr>
              <w:t xml:space="preserve"> </w:t>
            </w:r>
            <w:r w:rsidR="009806F0" w:rsidRPr="009806F0">
              <w:rPr>
                <w:rFonts w:ascii="Times New Roman" w:eastAsia="Times New Roman" w:hAnsi="Times New Roman" w:cs="Times New Roman"/>
                <w:color w:val="0070C0"/>
                <w:sz w:val="20"/>
              </w:rPr>
              <w:t xml:space="preserve">Zgodnie z planem stanowiącym </w:t>
            </w:r>
            <w:r w:rsidR="009806F0" w:rsidRPr="009806F0">
              <w:rPr>
                <w:rFonts w:ascii="Times New Roman" w:eastAsia="Times New Roman" w:hAnsi="Times New Roman" w:cs="Times New Roman"/>
                <w:color w:val="0070C0"/>
                <w:sz w:val="20"/>
                <w:u w:val="single"/>
              </w:rPr>
              <w:t>załącznik nr 1</w:t>
            </w:r>
            <w:r w:rsidR="009806F0" w:rsidRPr="009806F0">
              <w:rPr>
                <w:rFonts w:ascii="Times New Roman" w:eastAsia="Times New Roman" w:hAnsi="Times New Roman" w:cs="Times New Roman"/>
                <w:color w:val="0070C0"/>
                <w:sz w:val="20"/>
              </w:rPr>
              <w:t xml:space="preserve"> do niniejszego prospektu</w:t>
            </w:r>
          </w:p>
        </w:tc>
      </w:tr>
      <w:tr w:rsidR="001C505B">
        <w:trPr>
          <w:trHeight w:val="1781"/>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rsidR="001C505B" w:rsidRDefault="00E81E84">
            <w:r>
              <w:rPr>
                <w:rFonts w:ascii="Times New Roman" w:eastAsia="Times New Roman" w:hAnsi="Times New Roman" w:cs="Times New Roman"/>
                <w:sz w:val="20"/>
              </w:rPr>
              <w:t xml:space="preserve">Określenie powierzchni użytkowej i układu pomieszczeń oraz zakresu i standardu prac wykończeniowych, do których wykonania zobowiązuje się deweloper </w:t>
            </w:r>
          </w:p>
        </w:tc>
        <w:tc>
          <w:tcPr>
            <w:tcW w:w="6675" w:type="dxa"/>
            <w:gridSpan w:val="2"/>
            <w:tcBorders>
              <w:top w:val="single" w:sz="4" w:space="0" w:color="000000"/>
              <w:left w:val="single" w:sz="4" w:space="0" w:color="000000"/>
              <w:bottom w:val="single" w:sz="4" w:space="0" w:color="000000"/>
              <w:right w:val="single" w:sz="4" w:space="0" w:color="000000"/>
            </w:tcBorders>
          </w:tcPr>
          <w:p w:rsidR="001C505B" w:rsidRPr="009806F0" w:rsidRDefault="00E81E84">
            <w:pPr>
              <w:ind w:left="2"/>
              <w:rPr>
                <w:color w:val="0070C0"/>
              </w:rPr>
            </w:pPr>
            <w:r w:rsidRPr="009806F0">
              <w:rPr>
                <w:rFonts w:ascii="Times New Roman" w:eastAsia="Times New Roman" w:hAnsi="Times New Roman" w:cs="Times New Roman"/>
                <w:color w:val="0070C0"/>
                <w:sz w:val="20"/>
              </w:rPr>
              <w:t xml:space="preserve"> </w:t>
            </w:r>
            <w:r w:rsidR="009806F0" w:rsidRPr="009806F0">
              <w:rPr>
                <w:rFonts w:ascii="Times New Roman" w:eastAsia="Times New Roman" w:hAnsi="Times New Roman" w:cs="Times New Roman"/>
                <w:color w:val="0070C0"/>
                <w:sz w:val="20"/>
              </w:rPr>
              <w:t xml:space="preserve">Zgodnie z rzutem lokalu stanowiącym </w:t>
            </w:r>
            <w:r w:rsidR="009806F0" w:rsidRPr="009806F0">
              <w:rPr>
                <w:rFonts w:ascii="Times New Roman" w:eastAsia="Times New Roman" w:hAnsi="Times New Roman" w:cs="Times New Roman"/>
                <w:color w:val="0070C0"/>
                <w:sz w:val="20"/>
                <w:u w:val="single"/>
              </w:rPr>
              <w:t>załącznik nr 1</w:t>
            </w:r>
            <w:r w:rsidR="009806F0" w:rsidRPr="009806F0">
              <w:rPr>
                <w:rFonts w:ascii="Times New Roman" w:eastAsia="Times New Roman" w:hAnsi="Times New Roman" w:cs="Times New Roman"/>
                <w:color w:val="0070C0"/>
                <w:sz w:val="20"/>
              </w:rPr>
              <w:t xml:space="preserve"> do niniejszego prospektu i standardami wykonania lokalu stanowiącymi </w:t>
            </w:r>
            <w:r w:rsidR="009806F0" w:rsidRPr="009806F0">
              <w:rPr>
                <w:rFonts w:ascii="Times New Roman" w:eastAsia="Times New Roman" w:hAnsi="Times New Roman" w:cs="Times New Roman"/>
                <w:color w:val="0070C0"/>
                <w:sz w:val="20"/>
                <w:u w:val="single"/>
              </w:rPr>
              <w:t>załącznik nr 4</w:t>
            </w:r>
            <w:r w:rsidR="009806F0" w:rsidRPr="009806F0">
              <w:rPr>
                <w:rFonts w:ascii="Times New Roman" w:eastAsia="Times New Roman" w:hAnsi="Times New Roman" w:cs="Times New Roman"/>
                <w:color w:val="0070C0"/>
                <w:sz w:val="20"/>
              </w:rPr>
              <w:t xml:space="preserve"> do niniejszego prospektu</w:t>
            </w:r>
          </w:p>
        </w:tc>
      </w:tr>
      <w:tr w:rsidR="001C505B">
        <w:trPr>
          <w:trHeight w:val="988"/>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rsidR="001C505B" w:rsidRDefault="00E81E84">
            <w:pPr>
              <w:spacing w:line="312" w:lineRule="auto"/>
              <w:ind w:right="292"/>
            </w:pPr>
            <w:r>
              <w:rPr>
                <w:rFonts w:ascii="Times New Roman" w:eastAsia="Times New Roman" w:hAnsi="Times New Roman" w:cs="Times New Roman"/>
                <w:sz w:val="20"/>
              </w:rPr>
              <w:t xml:space="preserve">Data wydania zaświadczenia o samodzielności lokalu </w:t>
            </w:r>
          </w:p>
          <w:p w:rsidR="001C505B" w:rsidRDefault="00E81E84">
            <w:r>
              <w:rPr>
                <w:rFonts w:ascii="Times New Roman" w:eastAsia="Times New Roman" w:hAnsi="Times New Roman" w:cs="Times New Roman"/>
                <w:sz w:val="20"/>
              </w:rPr>
              <w:t xml:space="preserve">mieszkalnego </w:t>
            </w:r>
          </w:p>
        </w:tc>
        <w:tc>
          <w:tcPr>
            <w:tcW w:w="6675" w:type="dxa"/>
            <w:gridSpan w:val="2"/>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 </w:t>
            </w:r>
            <w:r w:rsidR="009806F0" w:rsidRPr="009806F0">
              <w:rPr>
                <w:rFonts w:ascii="Times New Roman" w:eastAsia="Times New Roman" w:hAnsi="Times New Roman" w:cs="Times New Roman"/>
                <w:color w:val="0070C0"/>
                <w:sz w:val="20"/>
              </w:rPr>
              <w:t>do 28.02.2027</w:t>
            </w:r>
          </w:p>
        </w:tc>
      </w:tr>
      <w:tr w:rsidR="001C505B">
        <w:trPr>
          <w:trHeight w:val="723"/>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rsidR="001C505B" w:rsidRDefault="00E81E84">
            <w:r>
              <w:rPr>
                <w:rFonts w:ascii="Times New Roman" w:eastAsia="Times New Roman" w:hAnsi="Times New Roman" w:cs="Times New Roman"/>
                <w:sz w:val="20"/>
              </w:rPr>
              <w:t xml:space="preserve">Data ustanowienia odrębnej własności lokalu mieszkalnego </w:t>
            </w:r>
          </w:p>
        </w:tc>
        <w:tc>
          <w:tcPr>
            <w:tcW w:w="6675" w:type="dxa"/>
            <w:gridSpan w:val="2"/>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 </w:t>
            </w:r>
            <w:r w:rsidR="009806F0" w:rsidRPr="009806F0">
              <w:rPr>
                <w:rFonts w:ascii="Times New Roman" w:eastAsia="Times New Roman" w:hAnsi="Times New Roman" w:cs="Times New Roman"/>
                <w:color w:val="0070C0"/>
                <w:sz w:val="20"/>
              </w:rPr>
              <w:t>do 28.02.2027……………………</w:t>
            </w:r>
          </w:p>
        </w:tc>
      </w:tr>
      <w:tr w:rsidR="001C505B">
        <w:trPr>
          <w:trHeight w:val="1252"/>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rsidR="001C505B" w:rsidRDefault="00E81E84">
            <w:pPr>
              <w:ind w:right="180"/>
            </w:pPr>
            <w:r>
              <w:rPr>
                <w:rFonts w:ascii="Times New Roman" w:eastAsia="Times New Roman" w:hAnsi="Times New Roman" w:cs="Times New Roman"/>
                <w:sz w:val="20"/>
              </w:rPr>
              <w:t xml:space="preserve">Informacje o lokalu użytkowym nabywanym równocześnie z lokalem mieszkalnym albo domem jednorodzinnym </w:t>
            </w:r>
          </w:p>
        </w:tc>
        <w:tc>
          <w:tcPr>
            <w:tcW w:w="6675" w:type="dxa"/>
            <w:gridSpan w:val="2"/>
            <w:tcBorders>
              <w:top w:val="single" w:sz="4" w:space="0" w:color="000000"/>
              <w:left w:val="single" w:sz="4" w:space="0" w:color="000000"/>
              <w:bottom w:val="single" w:sz="4" w:space="0" w:color="000000"/>
              <w:right w:val="single" w:sz="4" w:space="0" w:color="000000"/>
            </w:tcBorders>
          </w:tcPr>
          <w:p w:rsidR="001C505B" w:rsidRPr="009806F0" w:rsidRDefault="00E81E84">
            <w:pPr>
              <w:ind w:left="2"/>
              <w:rPr>
                <w:color w:val="0070C0"/>
              </w:rPr>
            </w:pPr>
            <w:r w:rsidRPr="009806F0">
              <w:rPr>
                <w:rFonts w:ascii="Times New Roman" w:eastAsia="Times New Roman" w:hAnsi="Times New Roman" w:cs="Times New Roman"/>
                <w:color w:val="0070C0"/>
                <w:sz w:val="20"/>
              </w:rPr>
              <w:t xml:space="preserve"> </w:t>
            </w:r>
            <w:r w:rsidR="009806F0" w:rsidRPr="009806F0">
              <w:rPr>
                <w:rFonts w:ascii="Times New Roman" w:eastAsia="Times New Roman" w:hAnsi="Times New Roman" w:cs="Times New Roman"/>
                <w:color w:val="0070C0"/>
                <w:sz w:val="20"/>
              </w:rPr>
              <w:t>Garaż o powierzchni ……………….</w:t>
            </w:r>
          </w:p>
        </w:tc>
      </w:tr>
      <w:tr w:rsidR="001C505B">
        <w:trPr>
          <w:trHeight w:val="988"/>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rsidR="001C505B" w:rsidRDefault="00E81E84">
            <w:r>
              <w:rPr>
                <w:rFonts w:ascii="Times New Roman" w:eastAsia="Times New Roman" w:hAnsi="Times New Roman" w:cs="Times New Roman"/>
                <w:sz w:val="20"/>
              </w:rPr>
              <w:t xml:space="preserve">Cena lokalu użytkowego albo ułamkowej części własności lokalu użytkowego </w:t>
            </w:r>
          </w:p>
        </w:tc>
        <w:tc>
          <w:tcPr>
            <w:tcW w:w="6675" w:type="dxa"/>
            <w:gridSpan w:val="2"/>
            <w:tcBorders>
              <w:top w:val="single" w:sz="4" w:space="0" w:color="000000"/>
              <w:left w:val="single" w:sz="4" w:space="0" w:color="000000"/>
              <w:bottom w:val="single" w:sz="4" w:space="0" w:color="000000"/>
              <w:right w:val="single" w:sz="4" w:space="0" w:color="000000"/>
            </w:tcBorders>
          </w:tcPr>
          <w:p w:rsidR="001C505B" w:rsidRPr="009806F0" w:rsidRDefault="00E81E84">
            <w:pPr>
              <w:ind w:left="2"/>
              <w:rPr>
                <w:color w:val="0070C0"/>
              </w:rPr>
            </w:pPr>
            <w:r w:rsidRPr="009806F0">
              <w:rPr>
                <w:rFonts w:ascii="Times New Roman" w:eastAsia="Times New Roman" w:hAnsi="Times New Roman" w:cs="Times New Roman"/>
                <w:color w:val="0070C0"/>
                <w:sz w:val="20"/>
              </w:rPr>
              <w:t xml:space="preserve"> </w:t>
            </w:r>
            <w:r w:rsidR="009806F0" w:rsidRPr="009806F0">
              <w:rPr>
                <w:rFonts w:ascii="Times New Roman" w:eastAsia="Times New Roman" w:hAnsi="Times New Roman" w:cs="Times New Roman"/>
                <w:color w:val="0070C0"/>
                <w:sz w:val="20"/>
              </w:rPr>
              <w:t>Garaż: …5500.00…………………</w:t>
            </w:r>
          </w:p>
        </w:tc>
      </w:tr>
      <w:tr w:rsidR="001C505B">
        <w:trPr>
          <w:trHeight w:val="1516"/>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rsidR="001C505B" w:rsidRDefault="00E81E84">
            <w:r>
              <w:rPr>
                <w:rFonts w:ascii="Times New Roman" w:eastAsia="Times New Roman" w:hAnsi="Times New Roman" w:cs="Times New Roman"/>
                <w:sz w:val="20"/>
              </w:rPr>
              <w:t xml:space="preserve">Termin, do którego nastąpi przeniesienie prawa własności lokalu użytkowego albo ułamkowej części własności lokalu użytkowego </w:t>
            </w:r>
          </w:p>
        </w:tc>
        <w:tc>
          <w:tcPr>
            <w:tcW w:w="6675" w:type="dxa"/>
            <w:gridSpan w:val="2"/>
            <w:tcBorders>
              <w:top w:val="single" w:sz="4" w:space="0" w:color="000000"/>
              <w:left w:val="single" w:sz="4" w:space="0" w:color="000000"/>
              <w:bottom w:val="single" w:sz="4" w:space="0" w:color="000000"/>
              <w:right w:val="single" w:sz="4" w:space="0" w:color="000000"/>
            </w:tcBorders>
          </w:tcPr>
          <w:p w:rsidR="001C505B" w:rsidRDefault="00E81E84">
            <w:pPr>
              <w:ind w:left="2"/>
            </w:pPr>
            <w:r>
              <w:rPr>
                <w:rFonts w:ascii="Times New Roman" w:eastAsia="Times New Roman" w:hAnsi="Times New Roman" w:cs="Times New Roman"/>
                <w:sz w:val="20"/>
              </w:rPr>
              <w:t xml:space="preserve"> </w:t>
            </w:r>
            <w:r w:rsidR="009806F0" w:rsidRPr="009806F0">
              <w:rPr>
                <w:rFonts w:ascii="Times New Roman" w:eastAsia="Times New Roman" w:hAnsi="Times New Roman" w:cs="Times New Roman"/>
                <w:color w:val="0070C0"/>
                <w:sz w:val="20"/>
              </w:rPr>
              <w:t>Po zapłacie przez Nabywcę na rzecz Dewelopera całości kwot opisanych w umowie, w sposób i na zasadach w niej określonych, w terminie najpóźniej do dnia 28-02-2027r</w:t>
            </w:r>
          </w:p>
        </w:tc>
      </w:tr>
    </w:tbl>
    <w:p w:rsidR="001C505B" w:rsidRDefault="00E81E84">
      <w:pPr>
        <w:spacing w:after="21"/>
      </w:pPr>
      <w:r>
        <w:rPr>
          <w:rFonts w:ascii="Times New Roman" w:eastAsia="Times New Roman" w:hAnsi="Times New Roman" w:cs="Times New Roman"/>
          <w:b/>
          <w:sz w:val="20"/>
        </w:rPr>
        <w:t xml:space="preserve"> </w:t>
      </w:r>
    </w:p>
    <w:p w:rsidR="001C505B" w:rsidRDefault="00E81E84">
      <w:pPr>
        <w:spacing w:after="124"/>
        <w:ind w:right="1"/>
        <w:jc w:val="right"/>
      </w:pPr>
      <w:r>
        <w:rPr>
          <w:rFonts w:ascii="Times New Roman" w:eastAsia="Times New Roman" w:hAnsi="Times New Roman" w:cs="Times New Roman"/>
          <w:b/>
          <w:sz w:val="20"/>
        </w:rPr>
        <w:t xml:space="preserve">Podpis dewelopera albo osoby upoważnionej do reprezentacji dewelopera </w:t>
      </w:r>
    </w:p>
    <w:p w:rsidR="001C505B" w:rsidRDefault="00E81E84">
      <w:pPr>
        <w:spacing w:after="0" w:line="387" w:lineRule="auto"/>
        <w:ind w:left="-15" w:firstLine="7567"/>
      </w:pPr>
      <w:r>
        <w:rPr>
          <w:rFonts w:ascii="Times New Roman" w:eastAsia="Times New Roman" w:hAnsi="Times New Roman" w:cs="Times New Roman"/>
          <w:b/>
          <w:sz w:val="20"/>
        </w:rPr>
        <w:t xml:space="preserve">..............................................  </w:t>
      </w:r>
      <w:r w:rsidR="008C0128">
        <w:rPr>
          <w:noProof/>
        </w:rPr>
      </w:r>
      <w:r w:rsidR="008C0128" w:rsidRPr="008C0128">
        <w:rPr>
          <w:noProof/>
        </w:rPr>
        <w:pict>
          <v:group id="Group 27902" o:spid="_x0000_s1028" style="width:491pt;height:1.1pt;mso-position-horizontal-relative:char;mso-position-vertical-relative:line" coordsize="62357,139">
            <v:shape id="Shape 3389" o:spid="_x0000_s1029" style="position:absolute;width:62357;height:139" coordsize="6235700,13970" path="m,13970l6235700,e" filled="f" fillcolor="black" strokeweight="2.25pt">
              <v:fill opacity="0"/>
            </v:shape>
            <w10:wrap type="none"/>
            <w10:anchorlock/>
          </v:group>
        </w:pict>
      </w:r>
    </w:p>
    <w:p w:rsidR="001C505B" w:rsidRDefault="00E81E84">
      <w:pPr>
        <w:spacing w:after="100"/>
        <w:ind w:left="-5" w:hanging="10"/>
      </w:pPr>
      <w:r>
        <w:rPr>
          <w:rFonts w:ascii="Times New Roman" w:eastAsia="Times New Roman" w:hAnsi="Times New Roman" w:cs="Times New Roman"/>
          <w:b/>
          <w:sz w:val="20"/>
        </w:rPr>
        <w:t xml:space="preserve">Załączniki: </w:t>
      </w:r>
    </w:p>
    <w:p w:rsidR="001C505B" w:rsidRDefault="00E81E84">
      <w:pPr>
        <w:numPr>
          <w:ilvl w:val="0"/>
          <w:numId w:val="8"/>
        </w:numPr>
        <w:spacing w:after="63" w:line="248" w:lineRule="auto"/>
        <w:ind w:right="2" w:hanging="284"/>
        <w:jc w:val="both"/>
      </w:pPr>
      <w:r>
        <w:rPr>
          <w:rFonts w:ascii="Times New Roman" w:eastAsia="Times New Roman" w:hAnsi="Times New Roman" w:cs="Times New Roman"/>
          <w:sz w:val="20"/>
        </w:rPr>
        <w:t xml:space="preserve">Rzut kondygnacji z zaznaczeniem lokalu mieszkalnego. </w:t>
      </w:r>
    </w:p>
    <w:p w:rsidR="001C505B" w:rsidRDefault="00E81E84">
      <w:pPr>
        <w:numPr>
          <w:ilvl w:val="0"/>
          <w:numId w:val="8"/>
        </w:numPr>
        <w:spacing w:after="27" w:line="248" w:lineRule="auto"/>
        <w:ind w:right="2" w:hanging="284"/>
        <w:jc w:val="both"/>
      </w:pPr>
      <w:r>
        <w:rPr>
          <w:rFonts w:ascii="Times New Roman" w:eastAsia="Times New Roman" w:hAnsi="Times New Roman" w:cs="Times New Roman"/>
          <w:sz w:val="20"/>
        </w:rPr>
        <w:t xml:space="preserve">Wzór umowy deweloperskiej lub umowy, o której mowa w art. 2 ust. 1 pkt 2, 3 lub 5 ustawy z dnia 20 maja 2021 r. </w:t>
      </w:r>
    </w:p>
    <w:p w:rsidR="001C505B" w:rsidRDefault="00E81E84">
      <w:pPr>
        <w:spacing w:after="47"/>
        <w:ind w:right="1"/>
        <w:jc w:val="right"/>
      </w:pPr>
      <w:r>
        <w:rPr>
          <w:rFonts w:ascii="Times New Roman" w:eastAsia="Times New Roman" w:hAnsi="Times New Roman" w:cs="Times New Roman"/>
          <w:sz w:val="20"/>
        </w:rPr>
        <w:t xml:space="preserve">o ochronie praw nabywcy lokalu mieszkalnego lub domu jednorodzinnego oraz Deweloperskim Funduszu Gwarancyjnym. </w:t>
      </w:r>
    </w:p>
    <w:p w:rsidR="001C505B" w:rsidRPr="009806F0" w:rsidRDefault="00E81E84">
      <w:pPr>
        <w:numPr>
          <w:ilvl w:val="0"/>
          <w:numId w:val="8"/>
        </w:numPr>
        <w:spacing w:after="69" w:line="248" w:lineRule="auto"/>
        <w:ind w:right="2" w:hanging="284"/>
        <w:jc w:val="both"/>
      </w:pPr>
      <w:r>
        <w:rPr>
          <w:rFonts w:ascii="Times New Roman" w:eastAsia="Times New Roman" w:hAnsi="Times New Roman" w:cs="Times New Roman"/>
          <w:sz w:val="20"/>
        </w:rPr>
        <w:t xml:space="preserve">Szkic koncepcji zagospodarowania terenu inwestycji i jego otoczenia z zaznaczeniem budynku oraz istotnych uwarunkowań lokalizacji inwestycji wynikających z istniejącego stanu użytkowania terenów sąsiednich (np. z funkcji terenu, stref ochronnych, uciążliwości). </w:t>
      </w:r>
    </w:p>
    <w:p w:rsidR="009806F0" w:rsidRPr="009806F0" w:rsidRDefault="009806F0" w:rsidP="009806F0">
      <w:pPr>
        <w:numPr>
          <w:ilvl w:val="0"/>
          <w:numId w:val="8"/>
        </w:numPr>
        <w:spacing w:after="69" w:line="248" w:lineRule="auto"/>
        <w:ind w:right="2" w:hanging="284"/>
        <w:jc w:val="both"/>
      </w:pPr>
      <w:r w:rsidRPr="009806F0">
        <w:rPr>
          <w:rFonts w:ascii="Times New Roman" w:hAnsi="Times New Roman" w:cs="Times New Roman"/>
          <w:color w:val="0070C0"/>
        </w:rPr>
        <w:t>Standard wykonania części wspólnej budynku i terenu wokół niego, będącego częścią wspólną nieruchomości,</w:t>
      </w:r>
    </w:p>
    <w:p w:rsidR="009806F0" w:rsidRPr="009806F0" w:rsidRDefault="009806F0" w:rsidP="009806F0">
      <w:pPr>
        <w:numPr>
          <w:ilvl w:val="0"/>
          <w:numId w:val="8"/>
        </w:numPr>
        <w:spacing w:after="69" w:line="248" w:lineRule="auto"/>
        <w:ind w:right="2" w:hanging="284"/>
        <w:jc w:val="both"/>
      </w:pPr>
      <w:r w:rsidRPr="009806F0">
        <w:rPr>
          <w:rFonts w:ascii="Times New Roman" w:hAnsi="Times New Roman" w:cs="Times New Roman"/>
          <w:color w:val="4472C4" w:themeColor="accent1"/>
        </w:rPr>
        <w:t>Plan określający usytuowanie budynków</w:t>
      </w:r>
    </w:p>
    <w:p w:rsidR="009806F0" w:rsidRDefault="009806F0" w:rsidP="009806F0">
      <w:pPr>
        <w:spacing w:after="69" w:line="248" w:lineRule="auto"/>
        <w:ind w:left="284" w:right="2"/>
        <w:jc w:val="both"/>
      </w:pPr>
    </w:p>
    <w:p w:rsidR="001C505B" w:rsidRDefault="00E81E84">
      <w:pPr>
        <w:spacing w:after="0"/>
      </w:pPr>
      <w:r>
        <w:rPr>
          <w:rFonts w:ascii="Times New Roman" w:eastAsia="Times New Roman" w:hAnsi="Times New Roman" w:cs="Times New Roman"/>
          <w:sz w:val="20"/>
        </w:rPr>
        <w:t xml:space="preserve"> </w:t>
      </w:r>
      <w:r w:rsidR="008C0128">
        <w:rPr>
          <w:noProof/>
        </w:rPr>
      </w:r>
      <w:r w:rsidR="008C0128" w:rsidRPr="008C0128">
        <w:rPr>
          <w:noProof/>
        </w:rPr>
        <w:pict>
          <v:group id="Group 27903" o:spid="_x0000_s1026" style="width:492.2pt;height:2.25pt;mso-position-horizontal-relative:char;mso-position-vertical-relative:line" coordsize="62509,285">
            <v:shape id="Shape 3390" o:spid="_x0000_s1027" style="position:absolute;width:62509;height:0" coordsize="6250940,0" path="m,l6250940,e" filled="f" fillcolor="black" strokeweight="2.25pt">
              <v:fill opacity="0"/>
            </v:shape>
            <w10:wrap type="none"/>
            <w10:anchorlock/>
          </v:group>
        </w:pict>
      </w:r>
    </w:p>
    <w:sectPr w:rsidR="001C505B" w:rsidSect="00837B46">
      <w:headerReference w:type="even" r:id="rId17"/>
      <w:headerReference w:type="default" r:id="rId18"/>
      <w:headerReference w:type="first" r:id="rId19"/>
      <w:pgSz w:w="11906" w:h="16838"/>
      <w:pgMar w:top="1460" w:right="1018" w:bottom="1020" w:left="1020" w:header="539" w:footer="708" w:gutter="0"/>
      <w:pgNumType w:start="34"/>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0B2289" w15:done="0"/>
  <w15:commentEx w15:paraId="366B2C5D" w15:paraIdParent="310B22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3A679C" w16cex:dateUtc="2025-11-27T22:09:00Z"/>
  <w16cex:commentExtensible w16cex:durableId="7DD29CAC" w16cex:dateUtc="2025-11-28T10: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0B2289" w16cid:durableId="7F3A679C"/>
  <w16cid:commentId w16cid:paraId="366B2C5D" w16cid:durableId="7DD29CA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45D" w:rsidRDefault="00A5045D">
      <w:pPr>
        <w:spacing w:after="0" w:line="240" w:lineRule="auto"/>
      </w:pPr>
      <w:r>
        <w:separator/>
      </w:r>
    </w:p>
  </w:endnote>
  <w:endnote w:type="continuationSeparator" w:id="0">
    <w:p w:rsidR="00A5045D" w:rsidRDefault="00A504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Noto Serif">
    <w:altName w:val="Times New Roman"/>
    <w:charset w:val="00"/>
    <w:family w:val="roman"/>
    <w:pitch w:val="variable"/>
    <w:sig w:usb0="00000001" w:usb1="500078FF" w:usb2="00000029" w:usb3="00000000" w:csb0="0000019F" w:csb1="00000000"/>
  </w:font>
  <w:font w:name="Arialk">
    <w:altName w:val="Arial"/>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45D" w:rsidRDefault="00A5045D">
      <w:pPr>
        <w:tabs>
          <w:tab w:val="center" w:pos="4426"/>
        </w:tabs>
        <w:spacing w:after="0"/>
      </w:pPr>
      <w:r>
        <w:separator/>
      </w:r>
    </w:p>
  </w:footnote>
  <w:footnote w:type="continuationSeparator" w:id="0">
    <w:p w:rsidR="00A5045D" w:rsidRDefault="00A5045D">
      <w:pPr>
        <w:tabs>
          <w:tab w:val="center" w:pos="4426"/>
        </w:tabs>
        <w:spacing w:after="0"/>
      </w:pPr>
      <w:r>
        <w:continuationSeparator/>
      </w:r>
    </w:p>
  </w:footnote>
  <w:footnote w:id="1">
    <w:p w:rsidR="001C505B" w:rsidRDefault="00E81E84">
      <w:pPr>
        <w:pStyle w:val="footnotedescription"/>
        <w:tabs>
          <w:tab w:val="center" w:pos="4426"/>
        </w:tabs>
        <w:jc w:val="left"/>
      </w:pPr>
      <w:r>
        <w:rPr>
          <w:rStyle w:val="footnotemark"/>
        </w:rPr>
        <w:footnoteRef/>
      </w:r>
      <w:r>
        <w:t xml:space="preserve"> </w:t>
      </w:r>
      <w:r>
        <w:rPr>
          <w:vertAlign w:val="superscript"/>
        </w:rPr>
        <w:t>)</w:t>
      </w:r>
      <w:r>
        <w:t xml:space="preserve"> </w:t>
      </w:r>
      <w:r>
        <w:tab/>
        <w:t xml:space="preserve">W przypadku braku miejscowego planu zagospodarowania przestrzennego umieszcza się informację „Brak planu”. </w:t>
      </w:r>
    </w:p>
  </w:footnote>
  <w:footnote w:id="2">
    <w:p w:rsidR="001C505B" w:rsidRDefault="00E81E84">
      <w:pPr>
        <w:pStyle w:val="footnotedescription"/>
        <w:spacing w:line="322" w:lineRule="auto"/>
        <w:ind w:left="280" w:hanging="280"/>
      </w:pPr>
      <w:r>
        <w:rPr>
          <w:rStyle w:val="footnotemark"/>
        </w:rPr>
        <w:footnoteRef/>
      </w:r>
      <w:r>
        <w:t xml:space="preserve"> </w:t>
      </w:r>
      <w:r>
        <w:rPr>
          <w:vertAlign w:val="superscript"/>
        </w:rPr>
        <w:t>)</w:t>
      </w:r>
      <w:r>
        <w:t xml:space="preserve"> Wskazane inwestycje dotyczą w szczególności budowy lub rozbudowy dróg, budowy linii szynowych oraz przewidzianych korytarzy powietrznych, inwestycji komunalnych, takich jak: oczyszczalnie ścieków, spalarnie śmieci, wysypiska, cmentarze. </w:t>
      </w:r>
    </w:p>
  </w:footnote>
  <w:footnote w:id="3">
    <w:p w:rsidR="001C505B" w:rsidRDefault="00E81E84">
      <w:pPr>
        <w:pStyle w:val="footnotedescription"/>
      </w:pPr>
      <w:r>
        <w:rPr>
          <w:rStyle w:val="footnotemark"/>
        </w:rPr>
        <w:footnoteRef/>
      </w:r>
      <w:r>
        <w:t xml:space="preserve"> </w:t>
      </w:r>
      <w:r>
        <w:rPr>
          <w:vertAlign w:val="superscript"/>
        </w:rPr>
        <w:t>)</w:t>
      </w:r>
      <w:r>
        <w:t xml:space="preserve"> Sekcja w brzmieniu ustalonym przez art. 43 pkt 14 ustawy, o której mowa w odnośniku 2.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05B" w:rsidRDefault="00E81E84">
    <w:pPr>
      <w:spacing w:after="107"/>
    </w:pPr>
    <w:r>
      <w:rPr>
        <w:rFonts w:ascii="Times New Roman" w:eastAsia="Times New Roman" w:hAnsi="Times New Roman" w:cs="Times New Roman"/>
        <w:sz w:val="24"/>
      </w:rPr>
      <w:t xml:space="preserve">  </w:t>
    </w:r>
  </w:p>
  <w:p w:rsidR="001C505B" w:rsidRDefault="00E81E84">
    <w:pPr>
      <w:tabs>
        <w:tab w:val="center" w:pos="4963"/>
        <w:tab w:val="right" w:pos="9868"/>
      </w:tabs>
      <w:spacing w:after="34"/>
    </w:pPr>
    <w:r>
      <w:rPr>
        <w:rFonts w:ascii="Times New Roman" w:eastAsia="Times New Roman" w:hAnsi="Times New Roman" w:cs="Times New Roman"/>
        <w:sz w:val="20"/>
        <w:u w:val="single" w:color="000000"/>
      </w:rPr>
      <w:t xml:space="preserve">Dziennik Ustaw </w:t>
    </w:r>
    <w:r>
      <w:rPr>
        <w:rFonts w:ascii="Times New Roman" w:eastAsia="Times New Roman" w:hAnsi="Times New Roman" w:cs="Times New Roman"/>
        <w:sz w:val="20"/>
        <w:u w:val="single" w:color="000000"/>
      </w:rPr>
      <w:tab/>
      <w:t xml:space="preserve">– </w:t>
    </w:r>
    <w:r w:rsidR="008C0128" w:rsidRPr="008C0128">
      <w:fldChar w:fldCharType="begin"/>
    </w:r>
    <w:r>
      <w:instrText xml:space="preserve"> PAGE   \* MERGEFORMAT </w:instrText>
    </w:r>
    <w:r w:rsidR="008C0128" w:rsidRPr="008C0128">
      <w:fldChar w:fldCharType="separate"/>
    </w:r>
    <w:r>
      <w:rPr>
        <w:rFonts w:ascii="Times New Roman" w:eastAsia="Times New Roman" w:hAnsi="Times New Roman" w:cs="Times New Roman"/>
        <w:sz w:val="20"/>
        <w:u w:val="single" w:color="000000"/>
      </w:rPr>
      <w:t>34</w:t>
    </w:r>
    <w:r w:rsidR="008C0128">
      <w:rPr>
        <w:rFonts w:ascii="Times New Roman" w:eastAsia="Times New Roman" w:hAnsi="Times New Roman" w:cs="Times New Roman"/>
        <w:sz w:val="20"/>
        <w:u w:val="single" w:color="000000"/>
      </w:rPr>
      <w:fldChar w:fldCharType="end"/>
    </w:r>
    <w:r>
      <w:rPr>
        <w:rFonts w:ascii="Times New Roman" w:eastAsia="Times New Roman" w:hAnsi="Times New Roman" w:cs="Times New Roman"/>
        <w:sz w:val="20"/>
        <w:u w:val="single" w:color="000000"/>
      </w:rPr>
      <w:t xml:space="preserve"> – </w:t>
    </w:r>
    <w:r>
      <w:rPr>
        <w:rFonts w:ascii="Times New Roman" w:eastAsia="Times New Roman" w:hAnsi="Times New Roman" w:cs="Times New Roman"/>
        <w:sz w:val="20"/>
        <w:u w:val="single" w:color="000000"/>
      </w:rPr>
      <w:tab/>
      <w:t xml:space="preserve">Poz. 695 </w:t>
    </w:r>
  </w:p>
  <w:p w:rsidR="001C505B" w:rsidRDefault="00E81E84">
    <w:pPr>
      <w:spacing w:after="0"/>
    </w:pPr>
    <w:r>
      <w:rPr>
        <w:rFonts w:ascii="Times New Roman" w:eastAsia="Times New Roman" w:hAnsi="Times New Roman" w:cs="Times New Roman"/>
        <w:sz w:val="20"/>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05B" w:rsidRDefault="00E81E84">
    <w:pPr>
      <w:spacing w:after="107"/>
    </w:pPr>
    <w:r>
      <w:rPr>
        <w:rFonts w:ascii="Times New Roman" w:eastAsia="Times New Roman" w:hAnsi="Times New Roman" w:cs="Times New Roman"/>
        <w:sz w:val="24"/>
      </w:rPr>
      <w:t xml:space="preserve">  </w:t>
    </w:r>
  </w:p>
  <w:p w:rsidR="001C505B" w:rsidRDefault="00E81E84">
    <w:pPr>
      <w:tabs>
        <w:tab w:val="center" w:pos="4963"/>
        <w:tab w:val="right" w:pos="9868"/>
      </w:tabs>
      <w:spacing w:after="34"/>
    </w:pPr>
    <w:r>
      <w:rPr>
        <w:rFonts w:ascii="Times New Roman" w:eastAsia="Times New Roman" w:hAnsi="Times New Roman" w:cs="Times New Roman"/>
        <w:sz w:val="20"/>
        <w:u w:val="single" w:color="000000"/>
      </w:rPr>
      <w:t xml:space="preserve">Dziennik Ustaw </w:t>
    </w:r>
    <w:r>
      <w:rPr>
        <w:rFonts w:ascii="Times New Roman" w:eastAsia="Times New Roman" w:hAnsi="Times New Roman" w:cs="Times New Roman"/>
        <w:sz w:val="20"/>
        <w:u w:val="single" w:color="000000"/>
      </w:rPr>
      <w:tab/>
      <w:t xml:space="preserve">– </w:t>
    </w:r>
    <w:r w:rsidR="008C0128" w:rsidRPr="008C0128">
      <w:fldChar w:fldCharType="begin"/>
    </w:r>
    <w:r>
      <w:instrText xml:space="preserve"> PAGE   \* MERGEFORMAT </w:instrText>
    </w:r>
    <w:r w:rsidR="008C0128" w:rsidRPr="008C0128">
      <w:fldChar w:fldCharType="separate"/>
    </w:r>
    <w:r w:rsidR="00824B30" w:rsidRPr="00824B30">
      <w:rPr>
        <w:rFonts w:ascii="Times New Roman" w:eastAsia="Times New Roman" w:hAnsi="Times New Roman" w:cs="Times New Roman"/>
        <w:noProof/>
        <w:sz w:val="20"/>
        <w:u w:val="single" w:color="000000"/>
      </w:rPr>
      <w:t>43</w:t>
    </w:r>
    <w:r w:rsidR="008C0128">
      <w:rPr>
        <w:rFonts w:ascii="Times New Roman" w:eastAsia="Times New Roman" w:hAnsi="Times New Roman" w:cs="Times New Roman"/>
        <w:sz w:val="20"/>
        <w:u w:val="single" w:color="000000"/>
      </w:rPr>
      <w:fldChar w:fldCharType="end"/>
    </w:r>
    <w:r>
      <w:rPr>
        <w:rFonts w:ascii="Times New Roman" w:eastAsia="Times New Roman" w:hAnsi="Times New Roman" w:cs="Times New Roman"/>
        <w:sz w:val="20"/>
        <w:u w:val="single" w:color="000000"/>
      </w:rPr>
      <w:t xml:space="preserve"> – </w:t>
    </w:r>
    <w:r>
      <w:rPr>
        <w:rFonts w:ascii="Times New Roman" w:eastAsia="Times New Roman" w:hAnsi="Times New Roman" w:cs="Times New Roman"/>
        <w:sz w:val="20"/>
        <w:u w:val="single" w:color="000000"/>
      </w:rPr>
      <w:tab/>
      <w:t xml:space="preserve">Poz. 695 </w:t>
    </w:r>
  </w:p>
  <w:p w:rsidR="001C505B" w:rsidRDefault="00E81E84">
    <w:pPr>
      <w:spacing w:after="0"/>
    </w:pPr>
    <w:r>
      <w:rPr>
        <w:rFonts w:ascii="Times New Roman" w:eastAsia="Times New Roman" w:hAnsi="Times New Roman" w:cs="Times New Roman"/>
        <w:sz w:val="20"/>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05B" w:rsidRDefault="00E81E84">
    <w:pPr>
      <w:spacing w:after="107"/>
    </w:pPr>
    <w:r>
      <w:rPr>
        <w:rFonts w:ascii="Times New Roman" w:eastAsia="Times New Roman" w:hAnsi="Times New Roman" w:cs="Times New Roman"/>
        <w:sz w:val="24"/>
      </w:rPr>
      <w:t xml:space="preserve">  </w:t>
    </w:r>
  </w:p>
  <w:p w:rsidR="001C505B" w:rsidRDefault="00E81E84">
    <w:pPr>
      <w:tabs>
        <w:tab w:val="center" w:pos="4963"/>
        <w:tab w:val="right" w:pos="9868"/>
      </w:tabs>
      <w:spacing w:after="34"/>
    </w:pPr>
    <w:r>
      <w:rPr>
        <w:rFonts w:ascii="Times New Roman" w:eastAsia="Times New Roman" w:hAnsi="Times New Roman" w:cs="Times New Roman"/>
        <w:sz w:val="20"/>
        <w:u w:val="single" w:color="000000"/>
      </w:rPr>
      <w:t xml:space="preserve">Dziennik Ustaw </w:t>
    </w:r>
    <w:r>
      <w:rPr>
        <w:rFonts w:ascii="Times New Roman" w:eastAsia="Times New Roman" w:hAnsi="Times New Roman" w:cs="Times New Roman"/>
        <w:sz w:val="20"/>
        <w:u w:val="single" w:color="000000"/>
      </w:rPr>
      <w:tab/>
      <w:t xml:space="preserve">– </w:t>
    </w:r>
    <w:r w:rsidR="008C0128" w:rsidRPr="008C0128">
      <w:fldChar w:fldCharType="begin"/>
    </w:r>
    <w:r>
      <w:instrText xml:space="preserve"> PAGE   \* MERGEFORMAT </w:instrText>
    </w:r>
    <w:r w:rsidR="008C0128" w:rsidRPr="008C0128">
      <w:fldChar w:fldCharType="separate"/>
    </w:r>
    <w:r>
      <w:rPr>
        <w:rFonts w:ascii="Times New Roman" w:eastAsia="Times New Roman" w:hAnsi="Times New Roman" w:cs="Times New Roman"/>
        <w:sz w:val="20"/>
        <w:u w:val="single" w:color="000000"/>
      </w:rPr>
      <w:t>34</w:t>
    </w:r>
    <w:r w:rsidR="008C0128">
      <w:rPr>
        <w:rFonts w:ascii="Times New Roman" w:eastAsia="Times New Roman" w:hAnsi="Times New Roman" w:cs="Times New Roman"/>
        <w:sz w:val="20"/>
        <w:u w:val="single" w:color="000000"/>
      </w:rPr>
      <w:fldChar w:fldCharType="end"/>
    </w:r>
    <w:r>
      <w:rPr>
        <w:rFonts w:ascii="Times New Roman" w:eastAsia="Times New Roman" w:hAnsi="Times New Roman" w:cs="Times New Roman"/>
        <w:sz w:val="20"/>
        <w:u w:val="single" w:color="000000"/>
      </w:rPr>
      <w:t xml:space="preserve"> – </w:t>
    </w:r>
    <w:r>
      <w:rPr>
        <w:rFonts w:ascii="Times New Roman" w:eastAsia="Times New Roman" w:hAnsi="Times New Roman" w:cs="Times New Roman"/>
        <w:sz w:val="20"/>
        <w:u w:val="single" w:color="000000"/>
      </w:rPr>
      <w:tab/>
      <w:t xml:space="preserve">Poz. 695 </w:t>
    </w:r>
  </w:p>
  <w:p w:rsidR="001C505B" w:rsidRDefault="00E81E84">
    <w:pPr>
      <w:spacing w:after="0"/>
    </w:pPr>
    <w:r>
      <w:rPr>
        <w:rFonts w:ascii="Times New Roman" w:eastAsia="Times New Roman" w:hAnsi="Times New Roman" w:cs="Times New Roman"/>
        <w:sz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69C8"/>
    <w:multiLevelType w:val="hybridMultilevel"/>
    <w:tmpl w:val="D938BB68"/>
    <w:lvl w:ilvl="0" w:tplc="0972ACC0">
      <w:start w:val="1"/>
      <w:numFmt w:val="bullet"/>
      <w:lvlText w:val="–"/>
      <w:lvlJc w:val="left"/>
      <w:pPr>
        <w:ind w:left="3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7E1C4E">
      <w:start w:val="1"/>
      <w:numFmt w:val="bullet"/>
      <w:lvlText w:val="o"/>
      <w:lvlJc w:val="left"/>
      <w:pPr>
        <w:ind w:left="1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C865AE0">
      <w:start w:val="1"/>
      <w:numFmt w:val="bullet"/>
      <w:lvlText w:val="▪"/>
      <w:lvlJc w:val="left"/>
      <w:pPr>
        <w:ind w:left="1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1402C84">
      <w:start w:val="1"/>
      <w:numFmt w:val="bullet"/>
      <w:lvlText w:val="•"/>
      <w:lvlJc w:val="left"/>
      <w:pPr>
        <w:ind w:left="2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C42A4C6">
      <w:start w:val="1"/>
      <w:numFmt w:val="bullet"/>
      <w:lvlText w:val="o"/>
      <w:lvlJc w:val="left"/>
      <w:pPr>
        <w:ind w:left="3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8943CA0">
      <w:start w:val="1"/>
      <w:numFmt w:val="bullet"/>
      <w:lvlText w:val="▪"/>
      <w:lvlJc w:val="left"/>
      <w:pPr>
        <w:ind w:left="40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DC85C62">
      <w:start w:val="1"/>
      <w:numFmt w:val="bullet"/>
      <w:lvlText w:val="•"/>
      <w:lvlJc w:val="left"/>
      <w:pPr>
        <w:ind w:left="4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C4EF19E">
      <w:start w:val="1"/>
      <w:numFmt w:val="bullet"/>
      <w:lvlText w:val="o"/>
      <w:lvlJc w:val="left"/>
      <w:pPr>
        <w:ind w:left="5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C0E51F8">
      <w:start w:val="1"/>
      <w:numFmt w:val="bullet"/>
      <w:lvlText w:val="▪"/>
      <w:lvlJc w:val="left"/>
      <w:pPr>
        <w:ind w:left="6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nsid w:val="013B5247"/>
    <w:multiLevelType w:val="hybridMultilevel"/>
    <w:tmpl w:val="8D9659F6"/>
    <w:lvl w:ilvl="0" w:tplc="A81A6BB6">
      <w:start w:val="1"/>
      <w:numFmt w:val="bullet"/>
      <w:lvlText w:val=""/>
      <w:lvlJc w:val="left"/>
      <w:pPr>
        <w:ind w:left="721" w:hanging="360"/>
      </w:pPr>
      <w:rPr>
        <w:rFonts w:ascii="Symbol" w:hAnsi="Symbol"/>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2">
    <w:nsid w:val="069C4B6C"/>
    <w:multiLevelType w:val="hybridMultilevel"/>
    <w:tmpl w:val="88742A64"/>
    <w:lvl w:ilvl="0" w:tplc="9A80CA90">
      <w:start w:val="1"/>
      <w:numFmt w:val="decimal"/>
      <w:lvlText w:val="%1."/>
      <w:lvlJc w:val="left"/>
      <w:pPr>
        <w:ind w:left="2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4483D4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520800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81E9F4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E440AC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EA8634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A8AE9F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3F4B0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02634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nsid w:val="094D0BCA"/>
    <w:multiLevelType w:val="hybridMultilevel"/>
    <w:tmpl w:val="D9901328"/>
    <w:lvl w:ilvl="0" w:tplc="614C30E0">
      <w:start w:val="1"/>
      <w:numFmt w:val="upperRoman"/>
      <w:lvlText w:val="%1."/>
      <w:lvlJc w:val="left"/>
      <w:pPr>
        <w:ind w:left="106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8E7EECA8">
      <w:start w:val="1"/>
      <w:numFmt w:val="lowerLetter"/>
      <w:lvlText w:val="%2"/>
      <w:lvlJc w:val="left"/>
      <w:pPr>
        <w:ind w:left="131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70CE28D6">
      <w:start w:val="1"/>
      <w:numFmt w:val="lowerRoman"/>
      <w:lvlText w:val="%3"/>
      <w:lvlJc w:val="left"/>
      <w:pPr>
        <w:ind w:left="203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FADC7A3A">
      <w:start w:val="1"/>
      <w:numFmt w:val="decimal"/>
      <w:lvlText w:val="%4"/>
      <w:lvlJc w:val="left"/>
      <w:pPr>
        <w:ind w:left="275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A53A3170">
      <w:start w:val="1"/>
      <w:numFmt w:val="lowerLetter"/>
      <w:lvlText w:val="%5"/>
      <w:lvlJc w:val="left"/>
      <w:pPr>
        <w:ind w:left="347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0E08CDA6">
      <w:start w:val="1"/>
      <w:numFmt w:val="lowerRoman"/>
      <w:lvlText w:val="%6"/>
      <w:lvlJc w:val="left"/>
      <w:pPr>
        <w:ind w:left="419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F93ABB2E">
      <w:start w:val="1"/>
      <w:numFmt w:val="decimal"/>
      <w:lvlText w:val="%7"/>
      <w:lvlJc w:val="left"/>
      <w:pPr>
        <w:ind w:left="491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4C7A6036">
      <w:start w:val="1"/>
      <w:numFmt w:val="lowerLetter"/>
      <w:lvlText w:val="%8"/>
      <w:lvlJc w:val="left"/>
      <w:pPr>
        <w:ind w:left="563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5DA64678">
      <w:start w:val="1"/>
      <w:numFmt w:val="lowerRoman"/>
      <w:lvlText w:val="%9"/>
      <w:lvlJc w:val="left"/>
      <w:pPr>
        <w:ind w:left="635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
    <w:nsid w:val="0BE76150"/>
    <w:multiLevelType w:val="hybridMultilevel"/>
    <w:tmpl w:val="B0B6B12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124B05E2"/>
    <w:multiLevelType w:val="hybridMultilevel"/>
    <w:tmpl w:val="2DC44452"/>
    <w:lvl w:ilvl="0" w:tplc="FFFFFFFF">
      <w:start w:val="1"/>
      <w:numFmt w:val="decimal"/>
      <w:lvlText w:val="%1."/>
      <w:lvlJc w:val="left"/>
      <w:pPr>
        <w:ind w:left="721" w:hanging="360"/>
      </w:pPr>
      <w:rPr>
        <w:rFonts w:ascii="Times New Roman" w:eastAsia="Times New Roman" w:hAnsi="Times New Roman" w:cs="Times New Roman"/>
      </w:rPr>
    </w:lvl>
    <w:lvl w:ilvl="1" w:tplc="FFFFFFFF" w:tentative="1">
      <w:start w:val="1"/>
      <w:numFmt w:val="bullet"/>
      <w:lvlText w:val="o"/>
      <w:lvlJc w:val="left"/>
      <w:pPr>
        <w:ind w:left="1441" w:hanging="360"/>
      </w:pPr>
      <w:rPr>
        <w:rFonts w:ascii="Courier New" w:hAnsi="Courier New" w:cs="Courier New" w:hint="default"/>
      </w:rPr>
    </w:lvl>
    <w:lvl w:ilvl="2" w:tplc="FFFFFFFF" w:tentative="1">
      <w:start w:val="1"/>
      <w:numFmt w:val="bullet"/>
      <w:lvlText w:val=""/>
      <w:lvlJc w:val="left"/>
      <w:pPr>
        <w:ind w:left="2161" w:hanging="360"/>
      </w:pPr>
      <w:rPr>
        <w:rFonts w:ascii="Wingdings" w:hAnsi="Wingdings" w:hint="default"/>
      </w:rPr>
    </w:lvl>
    <w:lvl w:ilvl="3" w:tplc="FFFFFFFF" w:tentative="1">
      <w:start w:val="1"/>
      <w:numFmt w:val="bullet"/>
      <w:lvlText w:val=""/>
      <w:lvlJc w:val="left"/>
      <w:pPr>
        <w:ind w:left="2881" w:hanging="360"/>
      </w:pPr>
      <w:rPr>
        <w:rFonts w:ascii="Symbol" w:hAnsi="Symbol" w:hint="default"/>
      </w:rPr>
    </w:lvl>
    <w:lvl w:ilvl="4" w:tplc="FFFFFFFF" w:tentative="1">
      <w:start w:val="1"/>
      <w:numFmt w:val="bullet"/>
      <w:lvlText w:val="o"/>
      <w:lvlJc w:val="left"/>
      <w:pPr>
        <w:ind w:left="3601" w:hanging="360"/>
      </w:pPr>
      <w:rPr>
        <w:rFonts w:ascii="Courier New" w:hAnsi="Courier New" w:cs="Courier New" w:hint="default"/>
      </w:rPr>
    </w:lvl>
    <w:lvl w:ilvl="5" w:tplc="FFFFFFFF" w:tentative="1">
      <w:start w:val="1"/>
      <w:numFmt w:val="bullet"/>
      <w:lvlText w:val=""/>
      <w:lvlJc w:val="left"/>
      <w:pPr>
        <w:ind w:left="4321" w:hanging="360"/>
      </w:pPr>
      <w:rPr>
        <w:rFonts w:ascii="Wingdings" w:hAnsi="Wingdings" w:hint="default"/>
      </w:rPr>
    </w:lvl>
    <w:lvl w:ilvl="6" w:tplc="FFFFFFFF" w:tentative="1">
      <w:start w:val="1"/>
      <w:numFmt w:val="bullet"/>
      <w:lvlText w:val=""/>
      <w:lvlJc w:val="left"/>
      <w:pPr>
        <w:ind w:left="5041" w:hanging="360"/>
      </w:pPr>
      <w:rPr>
        <w:rFonts w:ascii="Symbol" w:hAnsi="Symbol" w:hint="default"/>
      </w:rPr>
    </w:lvl>
    <w:lvl w:ilvl="7" w:tplc="FFFFFFFF" w:tentative="1">
      <w:start w:val="1"/>
      <w:numFmt w:val="bullet"/>
      <w:lvlText w:val="o"/>
      <w:lvlJc w:val="left"/>
      <w:pPr>
        <w:ind w:left="5761" w:hanging="360"/>
      </w:pPr>
      <w:rPr>
        <w:rFonts w:ascii="Courier New" w:hAnsi="Courier New" w:cs="Courier New" w:hint="default"/>
      </w:rPr>
    </w:lvl>
    <w:lvl w:ilvl="8" w:tplc="FFFFFFFF" w:tentative="1">
      <w:start w:val="1"/>
      <w:numFmt w:val="bullet"/>
      <w:lvlText w:val=""/>
      <w:lvlJc w:val="left"/>
      <w:pPr>
        <w:ind w:left="6481" w:hanging="360"/>
      </w:pPr>
      <w:rPr>
        <w:rFonts w:ascii="Wingdings" w:hAnsi="Wingdings" w:hint="default"/>
      </w:rPr>
    </w:lvl>
  </w:abstractNum>
  <w:abstractNum w:abstractNumId="6">
    <w:nsid w:val="1920285C"/>
    <w:multiLevelType w:val="hybridMultilevel"/>
    <w:tmpl w:val="F872E948"/>
    <w:lvl w:ilvl="0" w:tplc="A81A6BB6">
      <w:start w:val="1"/>
      <w:numFmt w:val="bullet"/>
      <w:lvlText w:val=""/>
      <w:lvlJc w:val="left"/>
      <w:pPr>
        <w:ind w:left="723" w:hanging="360"/>
      </w:pPr>
      <w:rPr>
        <w:rFonts w:ascii="Symbol" w:hAnsi="Symbol"/>
      </w:rPr>
    </w:lvl>
    <w:lvl w:ilvl="1" w:tplc="04150003" w:tentative="1">
      <w:start w:val="1"/>
      <w:numFmt w:val="bullet"/>
      <w:lvlText w:val="o"/>
      <w:lvlJc w:val="left"/>
      <w:pPr>
        <w:ind w:left="1442" w:hanging="360"/>
      </w:pPr>
      <w:rPr>
        <w:rFonts w:ascii="Courier New" w:hAnsi="Courier New" w:cs="Courier New" w:hint="default"/>
      </w:rPr>
    </w:lvl>
    <w:lvl w:ilvl="2" w:tplc="04150005" w:tentative="1">
      <w:start w:val="1"/>
      <w:numFmt w:val="bullet"/>
      <w:lvlText w:val=""/>
      <w:lvlJc w:val="left"/>
      <w:pPr>
        <w:ind w:left="2162" w:hanging="360"/>
      </w:pPr>
      <w:rPr>
        <w:rFonts w:ascii="Wingdings" w:hAnsi="Wingdings" w:hint="default"/>
      </w:rPr>
    </w:lvl>
    <w:lvl w:ilvl="3" w:tplc="04150001" w:tentative="1">
      <w:start w:val="1"/>
      <w:numFmt w:val="bullet"/>
      <w:lvlText w:val=""/>
      <w:lvlJc w:val="left"/>
      <w:pPr>
        <w:ind w:left="2882" w:hanging="360"/>
      </w:pPr>
      <w:rPr>
        <w:rFonts w:ascii="Symbol" w:hAnsi="Symbol" w:hint="default"/>
      </w:rPr>
    </w:lvl>
    <w:lvl w:ilvl="4" w:tplc="04150003" w:tentative="1">
      <w:start w:val="1"/>
      <w:numFmt w:val="bullet"/>
      <w:lvlText w:val="o"/>
      <w:lvlJc w:val="left"/>
      <w:pPr>
        <w:ind w:left="3602" w:hanging="360"/>
      </w:pPr>
      <w:rPr>
        <w:rFonts w:ascii="Courier New" w:hAnsi="Courier New" w:cs="Courier New" w:hint="default"/>
      </w:rPr>
    </w:lvl>
    <w:lvl w:ilvl="5" w:tplc="04150005" w:tentative="1">
      <w:start w:val="1"/>
      <w:numFmt w:val="bullet"/>
      <w:lvlText w:val=""/>
      <w:lvlJc w:val="left"/>
      <w:pPr>
        <w:ind w:left="4322" w:hanging="360"/>
      </w:pPr>
      <w:rPr>
        <w:rFonts w:ascii="Wingdings" w:hAnsi="Wingdings" w:hint="default"/>
      </w:rPr>
    </w:lvl>
    <w:lvl w:ilvl="6" w:tplc="04150001" w:tentative="1">
      <w:start w:val="1"/>
      <w:numFmt w:val="bullet"/>
      <w:lvlText w:val=""/>
      <w:lvlJc w:val="left"/>
      <w:pPr>
        <w:ind w:left="5042" w:hanging="360"/>
      </w:pPr>
      <w:rPr>
        <w:rFonts w:ascii="Symbol" w:hAnsi="Symbol" w:hint="default"/>
      </w:rPr>
    </w:lvl>
    <w:lvl w:ilvl="7" w:tplc="04150003" w:tentative="1">
      <w:start w:val="1"/>
      <w:numFmt w:val="bullet"/>
      <w:lvlText w:val="o"/>
      <w:lvlJc w:val="left"/>
      <w:pPr>
        <w:ind w:left="5762" w:hanging="360"/>
      </w:pPr>
      <w:rPr>
        <w:rFonts w:ascii="Courier New" w:hAnsi="Courier New" w:cs="Courier New" w:hint="default"/>
      </w:rPr>
    </w:lvl>
    <w:lvl w:ilvl="8" w:tplc="04150005" w:tentative="1">
      <w:start w:val="1"/>
      <w:numFmt w:val="bullet"/>
      <w:lvlText w:val=""/>
      <w:lvlJc w:val="left"/>
      <w:pPr>
        <w:ind w:left="6482" w:hanging="360"/>
      </w:pPr>
      <w:rPr>
        <w:rFonts w:ascii="Wingdings" w:hAnsi="Wingdings" w:hint="default"/>
      </w:rPr>
    </w:lvl>
  </w:abstractNum>
  <w:abstractNum w:abstractNumId="7">
    <w:nsid w:val="1D6564EC"/>
    <w:multiLevelType w:val="hybridMultilevel"/>
    <w:tmpl w:val="021686A6"/>
    <w:lvl w:ilvl="0" w:tplc="0CEE5432">
      <w:start w:val="1"/>
      <w:numFmt w:val="bullet"/>
      <w:lvlText w:val="–"/>
      <w:lvlJc w:val="left"/>
      <w:pPr>
        <w:ind w:left="3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86EA2F0">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840FF82">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5D81D06">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288E7D2">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64AC04A">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2700204">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1D0BDA4">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69E73DE">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nsid w:val="21254017"/>
    <w:multiLevelType w:val="hybridMultilevel"/>
    <w:tmpl w:val="DCC61090"/>
    <w:lvl w:ilvl="0" w:tplc="E06E5BDC">
      <w:start w:val="1"/>
      <w:numFmt w:val="decimal"/>
      <w:lvlText w:val="%1."/>
      <w:lvlJc w:val="left"/>
      <w:pPr>
        <w:ind w:left="27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69BA5F92">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F1669DD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99420CFE">
      <w:start w:val="1"/>
      <w:numFmt w:val="decimal"/>
      <w:lvlText w:val="%4"/>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B5843B2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4DEA64F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F98E86DE">
      <w:start w:val="1"/>
      <w:numFmt w:val="decimal"/>
      <w:lvlText w:val="%7"/>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8070A9E8">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B192E07A">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9">
    <w:nsid w:val="28D06865"/>
    <w:multiLevelType w:val="hybridMultilevel"/>
    <w:tmpl w:val="96C0C924"/>
    <w:lvl w:ilvl="0" w:tplc="83C0EB9A">
      <w:start w:val="1"/>
      <w:numFmt w:val="decimal"/>
      <w:lvlText w:val="%1."/>
      <w:lvlJc w:val="left"/>
      <w:pPr>
        <w:ind w:left="1080" w:hanging="360"/>
      </w:pPr>
      <w:rPr>
        <w:rFonts w:ascii="Arial" w:eastAsia="Calibri" w:hAnsi="Arial" w:cs="Aria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nsid w:val="2D7B70F7"/>
    <w:multiLevelType w:val="hybridMultilevel"/>
    <w:tmpl w:val="FD4C0560"/>
    <w:lvl w:ilvl="0" w:tplc="70562D9C">
      <w:start w:val="1"/>
      <w:numFmt w:val="bullet"/>
      <w:lvlText w:val="-"/>
      <w:lvlJc w:val="left"/>
      <w:pPr>
        <w:ind w:left="1068" w:hanging="360"/>
      </w:pPr>
      <w:rPr>
        <w:rFonts w:ascii="Courier New" w:hAnsi="Courier New" w:cs="Times New Roman"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11">
    <w:nsid w:val="357A34EC"/>
    <w:multiLevelType w:val="hybridMultilevel"/>
    <w:tmpl w:val="F756230E"/>
    <w:lvl w:ilvl="0" w:tplc="B10487B0">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2">
    <w:nsid w:val="3B7C5447"/>
    <w:multiLevelType w:val="hybridMultilevel"/>
    <w:tmpl w:val="7228FFF0"/>
    <w:lvl w:ilvl="0" w:tplc="3E4A1E16">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3F4B5928"/>
    <w:multiLevelType w:val="hybridMultilevel"/>
    <w:tmpl w:val="50CE4B8A"/>
    <w:lvl w:ilvl="0" w:tplc="7E46D370">
      <w:start w:val="1"/>
      <w:numFmt w:val="decimal"/>
      <w:lvlText w:val="%1)"/>
      <w:lvlJc w:val="left"/>
      <w:pPr>
        <w:ind w:left="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E0AB0B6">
      <w:start w:val="1"/>
      <w:numFmt w:val="lowerLetter"/>
      <w:lvlText w:val="%2"/>
      <w:lvlJc w:val="left"/>
      <w:pPr>
        <w:ind w:left="1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51E12B2">
      <w:start w:val="1"/>
      <w:numFmt w:val="lowerRoman"/>
      <w:lvlText w:val="%3"/>
      <w:lvlJc w:val="left"/>
      <w:pPr>
        <w:ind w:left="2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2A43C3C">
      <w:start w:val="1"/>
      <w:numFmt w:val="decimal"/>
      <w:lvlText w:val="%4"/>
      <w:lvlJc w:val="left"/>
      <w:pPr>
        <w:ind w:left="29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0259E4">
      <w:start w:val="1"/>
      <w:numFmt w:val="lowerLetter"/>
      <w:lvlText w:val="%5"/>
      <w:lvlJc w:val="left"/>
      <w:pPr>
        <w:ind w:left="36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8DABA4E">
      <w:start w:val="1"/>
      <w:numFmt w:val="lowerRoman"/>
      <w:lvlText w:val="%6"/>
      <w:lvlJc w:val="left"/>
      <w:pPr>
        <w:ind w:left="43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D2EEBD4">
      <w:start w:val="1"/>
      <w:numFmt w:val="decimal"/>
      <w:lvlText w:val="%7"/>
      <w:lvlJc w:val="left"/>
      <w:pPr>
        <w:ind w:left="5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12E785E">
      <w:start w:val="1"/>
      <w:numFmt w:val="lowerLetter"/>
      <w:lvlText w:val="%8"/>
      <w:lvlJc w:val="left"/>
      <w:pPr>
        <w:ind w:left="5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3FA9FC0">
      <w:start w:val="1"/>
      <w:numFmt w:val="lowerRoman"/>
      <w:lvlText w:val="%9"/>
      <w:lvlJc w:val="left"/>
      <w:pPr>
        <w:ind w:left="65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nsid w:val="4363773A"/>
    <w:multiLevelType w:val="hybridMultilevel"/>
    <w:tmpl w:val="6EFAEEC0"/>
    <w:lvl w:ilvl="0" w:tplc="EF24F70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A4404B6">
      <w:start w:val="5"/>
      <w:numFmt w:val="decimal"/>
      <w:lvlText w:val="%2)"/>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21892E6">
      <w:start w:val="1"/>
      <w:numFmt w:val="lowerRoman"/>
      <w:lvlText w:val="%3"/>
      <w:lvlJc w:val="left"/>
      <w:pPr>
        <w:ind w:left="13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5921A10">
      <w:start w:val="1"/>
      <w:numFmt w:val="decimal"/>
      <w:lvlText w:val="%4"/>
      <w:lvlJc w:val="left"/>
      <w:pPr>
        <w:ind w:left="2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9ACE40A">
      <w:start w:val="1"/>
      <w:numFmt w:val="lowerLetter"/>
      <w:lvlText w:val="%5"/>
      <w:lvlJc w:val="left"/>
      <w:pPr>
        <w:ind w:left="28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47458F2">
      <w:start w:val="1"/>
      <w:numFmt w:val="lowerRoman"/>
      <w:lvlText w:val="%6"/>
      <w:lvlJc w:val="left"/>
      <w:pPr>
        <w:ind w:left="35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FF21972">
      <w:start w:val="1"/>
      <w:numFmt w:val="decimal"/>
      <w:lvlText w:val="%7"/>
      <w:lvlJc w:val="left"/>
      <w:pPr>
        <w:ind w:left="42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6B4F716">
      <w:start w:val="1"/>
      <w:numFmt w:val="lowerLetter"/>
      <w:lvlText w:val="%8"/>
      <w:lvlJc w:val="left"/>
      <w:pPr>
        <w:ind w:left="49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6122488">
      <w:start w:val="1"/>
      <w:numFmt w:val="lowerRoman"/>
      <w:lvlText w:val="%9"/>
      <w:lvlJc w:val="left"/>
      <w:pPr>
        <w:ind w:left="57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nsid w:val="4A6965A0"/>
    <w:multiLevelType w:val="hybridMultilevel"/>
    <w:tmpl w:val="024C8C64"/>
    <w:lvl w:ilvl="0" w:tplc="50845D14">
      <w:start w:val="2"/>
      <w:numFmt w:val="upperRoman"/>
      <w:lvlText w:val="%1."/>
      <w:lvlJc w:val="left"/>
      <w:pPr>
        <w:ind w:left="2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2E8BD4E">
      <w:start w:val="1"/>
      <w:numFmt w:val="decimal"/>
      <w:lvlText w:val="%2)"/>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AD60C40">
      <w:start w:val="1"/>
      <w:numFmt w:val="lowerRoman"/>
      <w:lvlText w:val="%3"/>
      <w:lvlJc w:val="left"/>
      <w:pPr>
        <w:ind w:left="13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BFA6B5A">
      <w:start w:val="1"/>
      <w:numFmt w:val="decimal"/>
      <w:lvlText w:val="%4"/>
      <w:lvlJc w:val="left"/>
      <w:pPr>
        <w:ind w:left="2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5C4E670">
      <w:start w:val="1"/>
      <w:numFmt w:val="lowerLetter"/>
      <w:lvlText w:val="%5"/>
      <w:lvlJc w:val="left"/>
      <w:pPr>
        <w:ind w:left="28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7846790">
      <w:start w:val="1"/>
      <w:numFmt w:val="lowerRoman"/>
      <w:lvlText w:val="%6"/>
      <w:lvlJc w:val="left"/>
      <w:pPr>
        <w:ind w:left="35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19C916C">
      <w:start w:val="1"/>
      <w:numFmt w:val="decimal"/>
      <w:lvlText w:val="%7"/>
      <w:lvlJc w:val="left"/>
      <w:pPr>
        <w:ind w:left="42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706DF92">
      <w:start w:val="1"/>
      <w:numFmt w:val="lowerLetter"/>
      <w:lvlText w:val="%8"/>
      <w:lvlJc w:val="left"/>
      <w:pPr>
        <w:ind w:left="49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74AF4EE">
      <w:start w:val="1"/>
      <w:numFmt w:val="lowerRoman"/>
      <w:lvlText w:val="%9"/>
      <w:lvlJc w:val="left"/>
      <w:pPr>
        <w:ind w:left="57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nsid w:val="4AB553F3"/>
    <w:multiLevelType w:val="multilevel"/>
    <w:tmpl w:val="B57A84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22A564B"/>
    <w:multiLevelType w:val="hybridMultilevel"/>
    <w:tmpl w:val="7E04C54E"/>
    <w:lvl w:ilvl="0" w:tplc="F1722BBC">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DE000F8">
      <w:start w:val="1"/>
      <w:numFmt w:val="lowerLetter"/>
      <w:lvlText w:val="%2"/>
      <w:lvlJc w:val="left"/>
      <w:pPr>
        <w:ind w:left="7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B3C449E">
      <w:start w:val="1"/>
      <w:numFmt w:val="lowerLetter"/>
      <w:lvlText w:val="%3)"/>
      <w:lvlJc w:val="left"/>
      <w:pPr>
        <w:ind w:left="15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0B6227A">
      <w:start w:val="1"/>
      <w:numFmt w:val="decimal"/>
      <w:lvlText w:val="%4"/>
      <w:lvlJc w:val="left"/>
      <w:pPr>
        <w:ind w:left="18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4EC806">
      <w:start w:val="1"/>
      <w:numFmt w:val="lowerLetter"/>
      <w:lvlText w:val="%5"/>
      <w:lvlJc w:val="left"/>
      <w:pPr>
        <w:ind w:left="25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158BB3C">
      <w:start w:val="1"/>
      <w:numFmt w:val="lowerRoman"/>
      <w:lvlText w:val="%6"/>
      <w:lvlJc w:val="left"/>
      <w:pPr>
        <w:ind w:left="32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EF63E02">
      <w:start w:val="1"/>
      <w:numFmt w:val="decimal"/>
      <w:lvlText w:val="%7"/>
      <w:lvlJc w:val="left"/>
      <w:pPr>
        <w:ind w:left="39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6CA6F7C">
      <w:start w:val="1"/>
      <w:numFmt w:val="lowerLetter"/>
      <w:lvlText w:val="%8"/>
      <w:lvlJc w:val="left"/>
      <w:pPr>
        <w:ind w:left="46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909DA8">
      <w:start w:val="1"/>
      <w:numFmt w:val="lowerRoman"/>
      <w:lvlText w:val="%9"/>
      <w:lvlJc w:val="left"/>
      <w:pPr>
        <w:ind w:left="54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nsid w:val="52B23F21"/>
    <w:multiLevelType w:val="hybridMultilevel"/>
    <w:tmpl w:val="02840036"/>
    <w:lvl w:ilvl="0" w:tplc="5AC22C94">
      <w:start w:val="1"/>
      <w:numFmt w:val="lowerLetter"/>
      <w:lvlText w:val="%1)"/>
      <w:lvlJc w:val="left"/>
      <w:pPr>
        <w:ind w:left="720" w:hanging="360"/>
      </w:pPr>
      <w:rPr>
        <w:rFonts w:ascii="Arial" w:eastAsia="Calibri"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56553FE1"/>
    <w:multiLevelType w:val="hybridMultilevel"/>
    <w:tmpl w:val="D08C2112"/>
    <w:lvl w:ilvl="0" w:tplc="F4028470">
      <w:start w:val="2"/>
      <w:numFmt w:val="decimal"/>
      <w:lvlText w:val="%1)"/>
      <w:lvlJc w:val="left"/>
      <w:pPr>
        <w:ind w:left="2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24C86824">
      <w:start w:val="1"/>
      <w:numFmt w:val="decimal"/>
      <w:lvlText w:val="%2)"/>
      <w:lvlJc w:val="left"/>
      <w:pPr>
        <w:ind w:left="5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9B28378">
      <w:start w:val="1"/>
      <w:numFmt w:val="lowerRoman"/>
      <w:lvlText w:val="%3"/>
      <w:lvlJc w:val="left"/>
      <w:pPr>
        <w:ind w:left="1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9F609FE">
      <w:start w:val="1"/>
      <w:numFmt w:val="decimal"/>
      <w:lvlText w:val="%4"/>
      <w:lvlJc w:val="left"/>
      <w:pPr>
        <w:ind w:left="2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146BC66">
      <w:start w:val="1"/>
      <w:numFmt w:val="lowerLetter"/>
      <w:lvlText w:val="%5"/>
      <w:lvlJc w:val="left"/>
      <w:pPr>
        <w:ind w:left="2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B403C7A">
      <w:start w:val="1"/>
      <w:numFmt w:val="lowerRoman"/>
      <w:lvlText w:val="%6"/>
      <w:lvlJc w:val="left"/>
      <w:pPr>
        <w:ind w:left="3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FA634A8">
      <w:start w:val="1"/>
      <w:numFmt w:val="decimal"/>
      <w:lvlText w:val="%7"/>
      <w:lvlJc w:val="left"/>
      <w:pPr>
        <w:ind w:left="4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7E89558">
      <w:start w:val="1"/>
      <w:numFmt w:val="lowerLetter"/>
      <w:lvlText w:val="%8"/>
      <w:lvlJc w:val="left"/>
      <w:pPr>
        <w:ind w:left="4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8E042A0">
      <w:start w:val="1"/>
      <w:numFmt w:val="lowerRoman"/>
      <w:lvlText w:val="%9"/>
      <w:lvlJc w:val="left"/>
      <w:pPr>
        <w:ind w:left="5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
    <w:nsid w:val="669823F2"/>
    <w:multiLevelType w:val="hybridMultilevel"/>
    <w:tmpl w:val="8326B06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1">
    <w:nsid w:val="6F10179A"/>
    <w:multiLevelType w:val="hybridMultilevel"/>
    <w:tmpl w:val="34C60A60"/>
    <w:lvl w:ilvl="0" w:tplc="78468CE2">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878F4DC">
      <w:start w:val="1"/>
      <w:numFmt w:val="lowerLetter"/>
      <w:lvlText w:val="%2"/>
      <w:lvlJc w:val="left"/>
      <w:pPr>
        <w:ind w:left="7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B4A26D8">
      <w:start w:val="1"/>
      <w:numFmt w:val="lowerLetter"/>
      <w:lvlText w:val="%3)"/>
      <w:lvlJc w:val="left"/>
      <w:pPr>
        <w:ind w:left="15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ADA8CE4">
      <w:start w:val="1"/>
      <w:numFmt w:val="decimal"/>
      <w:lvlText w:val="%4"/>
      <w:lvlJc w:val="left"/>
      <w:pPr>
        <w:ind w:left="18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956A9B6">
      <w:start w:val="1"/>
      <w:numFmt w:val="lowerLetter"/>
      <w:lvlText w:val="%5"/>
      <w:lvlJc w:val="left"/>
      <w:pPr>
        <w:ind w:left="25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BEC714E">
      <w:start w:val="1"/>
      <w:numFmt w:val="lowerRoman"/>
      <w:lvlText w:val="%6"/>
      <w:lvlJc w:val="left"/>
      <w:pPr>
        <w:ind w:left="32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2BA259A">
      <w:start w:val="1"/>
      <w:numFmt w:val="decimal"/>
      <w:lvlText w:val="%7"/>
      <w:lvlJc w:val="left"/>
      <w:pPr>
        <w:ind w:left="39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7407C2">
      <w:start w:val="1"/>
      <w:numFmt w:val="lowerLetter"/>
      <w:lvlText w:val="%8"/>
      <w:lvlJc w:val="left"/>
      <w:pPr>
        <w:ind w:left="46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BCA8E4">
      <w:start w:val="1"/>
      <w:numFmt w:val="lowerRoman"/>
      <w:lvlText w:val="%9"/>
      <w:lvlJc w:val="left"/>
      <w:pPr>
        <w:ind w:left="54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nsid w:val="7C36761A"/>
    <w:multiLevelType w:val="multilevel"/>
    <w:tmpl w:val="3D880C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DED4E52"/>
    <w:multiLevelType w:val="hybridMultilevel"/>
    <w:tmpl w:val="ED36B4E4"/>
    <w:lvl w:ilvl="0" w:tplc="70562D9C">
      <w:start w:val="1"/>
      <w:numFmt w:val="bullet"/>
      <w:lvlText w:val="-"/>
      <w:lvlJc w:val="left"/>
      <w:pPr>
        <w:ind w:left="1080" w:hanging="360"/>
      </w:pPr>
      <w:rPr>
        <w:rFonts w:ascii="Courier New" w:hAnsi="Courier New" w:cs="Times New Roman"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num w:numId="1">
    <w:abstractNumId w:val="3"/>
  </w:num>
  <w:num w:numId="2">
    <w:abstractNumId w:val="19"/>
  </w:num>
  <w:num w:numId="3">
    <w:abstractNumId w:val="15"/>
  </w:num>
  <w:num w:numId="4">
    <w:abstractNumId w:val="21"/>
  </w:num>
  <w:num w:numId="5">
    <w:abstractNumId w:val="14"/>
  </w:num>
  <w:num w:numId="6">
    <w:abstractNumId w:val="17"/>
  </w:num>
  <w:num w:numId="7">
    <w:abstractNumId w:val="7"/>
  </w:num>
  <w:num w:numId="8">
    <w:abstractNumId w:val="2"/>
  </w:num>
  <w:num w:numId="9">
    <w:abstractNumId w:val="13"/>
  </w:num>
  <w:num w:numId="10">
    <w:abstractNumId w:val="0"/>
  </w:num>
  <w:num w:numId="11">
    <w:abstractNumId w:val="1"/>
  </w:num>
  <w:num w:numId="12">
    <w:abstractNumId w:val="5"/>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4"/>
  </w:num>
  <w:num w:numId="18">
    <w:abstractNumId w:val="6"/>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0"/>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kórcz Jacek">
    <w15:presenceInfo w15:providerId="AD" w15:userId="S::jacek.skorcz@kancelaria-ppw.pl::b70ae2b9-f795-4524-90af-e92748f2797b"/>
  </w15:person>
  <w15:person w15:author="Maciej Witkowski">
    <w15:presenceInfo w15:providerId="Windows Live" w15:userId="987f67b89ff055f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useFELayout/>
  </w:compat>
  <w:rsids>
    <w:rsidRoot w:val="001C505B"/>
    <w:rsid w:val="000368AA"/>
    <w:rsid w:val="0014390E"/>
    <w:rsid w:val="001B5EC4"/>
    <w:rsid w:val="001C505B"/>
    <w:rsid w:val="00217952"/>
    <w:rsid w:val="002A3F7A"/>
    <w:rsid w:val="002E5F96"/>
    <w:rsid w:val="00323617"/>
    <w:rsid w:val="00354862"/>
    <w:rsid w:val="00355BA9"/>
    <w:rsid w:val="00556D59"/>
    <w:rsid w:val="005B2E65"/>
    <w:rsid w:val="00691CD8"/>
    <w:rsid w:val="00824B30"/>
    <w:rsid w:val="00837B46"/>
    <w:rsid w:val="008C0128"/>
    <w:rsid w:val="00921D4F"/>
    <w:rsid w:val="00962C7B"/>
    <w:rsid w:val="009806F0"/>
    <w:rsid w:val="009F4C0A"/>
    <w:rsid w:val="00A5045D"/>
    <w:rsid w:val="00B601A8"/>
    <w:rsid w:val="00BF10EF"/>
    <w:rsid w:val="00C13376"/>
    <w:rsid w:val="00CD3EBF"/>
    <w:rsid w:val="00D8510A"/>
    <w:rsid w:val="00DE1CC7"/>
    <w:rsid w:val="00E32B2E"/>
    <w:rsid w:val="00E81E84"/>
    <w:rsid w:val="00F5507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pl-PL" w:eastAsia="pl-PL"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37B46"/>
    <w:pPr>
      <w:spacing w:line="259" w:lineRule="auto"/>
    </w:pPr>
    <w:rPr>
      <w:rFonts w:ascii="Calibri" w:eastAsia="Calibri" w:hAnsi="Calibri" w:cs="Calibri"/>
      <w:color w:val="000000"/>
      <w:sz w:val="22"/>
    </w:rPr>
  </w:style>
  <w:style w:type="paragraph" w:styleId="Nagwek1">
    <w:name w:val="heading 1"/>
    <w:next w:val="Normalny"/>
    <w:link w:val="Nagwek1Znak"/>
    <w:uiPriority w:val="9"/>
    <w:qFormat/>
    <w:rsid w:val="00837B46"/>
    <w:pPr>
      <w:keepNext/>
      <w:keepLines/>
      <w:spacing w:after="0" w:line="259" w:lineRule="auto"/>
      <w:jc w:val="center"/>
      <w:outlineLvl w:val="0"/>
    </w:pPr>
    <w:rPr>
      <w:rFonts w:ascii="Times New Roman" w:eastAsia="Times New Roman" w:hAnsi="Times New Roman" w:cs="Times New Roman"/>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837B46"/>
    <w:rPr>
      <w:rFonts w:ascii="Times New Roman" w:eastAsia="Times New Roman" w:hAnsi="Times New Roman" w:cs="Times New Roman"/>
      <w:b/>
      <w:color w:val="000000"/>
      <w:sz w:val="20"/>
    </w:rPr>
  </w:style>
  <w:style w:type="paragraph" w:customStyle="1" w:styleId="footnotedescription">
    <w:name w:val="footnote description"/>
    <w:next w:val="Normalny"/>
    <w:link w:val="footnotedescriptionChar"/>
    <w:hidden/>
    <w:rsid w:val="00837B46"/>
    <w:pPr>
      <w:spacing w:after="0" w:line="259" w:lineRule="auto"/>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sid w:val="00837B46"/>
    <w:rPr>
      <w:rFonts w:ascii="Times New Roman" w:eastAsia="Times New Roman" w:hAnsi="Times New Roman" w:cs="Times New Roman"/>
      <w:color w:val="000000"/>
      <w:sz w:val="18"/>
    </w:rPr>
  </w:style>
  <w:style w:type="character" w:customStyle="1" w:styleId="footnotemark">
    <w:name w:val="footnote mark"/>
    <w:hidden/>
    <w:rsid w:val="00837B46"/>
    <w:rPr>
      <w:rFonts w:ascii="Times New Roman" w:eastAsia="Times New Roman" w:hAnsi="Times New Roman" w:cs="Times New Roman"/>
      <w:color w:val="000000"/>
      <w:sz w:val="18"/>
      <w:vertAlign w:val="superscript"/>
    </w:rPr>
  </w:style>
  <w:style w:type="table" w:customStyle="1" w:styleId="TableGrid">
    <w:name w:val="TableGrid"/>
    <w:rsid w:val="00837B46"/>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CD3EBF"/>
    <w:rPr>
      <w:color w:val="0563C1" w:themeColor="hyperlink"/>
      <w:u w:val="single"/>
    </w:rPr>
  </w:style>
  <w:style w:type="character" w:customStyle="1" w:styleId="UnresolvedMention">
    <w:name w:val="Unresolved Mention"/>
    <w:basedOn w:val="Domylnaczcionkaakapitu"/>
    <w:uiPriority w:val="99"/>
    <w:semiHidden/>
    <w:unhideWhenUsed/>
    <w:rsid w:val="00CD3EBF"/>
    <w:rPr>
      <w:color w:val="605E5C"/>
      <w:shd w:val="clear" w:color="auto" w:fill="E1DFDD"/>
    </w:rPr>
  </w:style>
  <w:style w:type="character" w:styleId="UyteHipercze">
    <w:name w:val="FollowedHyperlink"/>
    <w:basedOn w:val="Domylnaczcionkaakapitu"/>
    <w:uiPriority w:val="99"/>
    <w:semiHidden/>
    <w:unhideWhenUsed/>
    <w:rsid w:val="00556D59"/>
    <w:rPr>
      <w:color w:val="954F72" w:themeColor="followedHyperlink"/>
      <w:u w:val="single"/>
    </w:rPr>
  </w:style>
  <w:style w:type="paragraph" w:styleId="Akapitzlist">
    <w:name w:val="List Paragraph"/>
    <w:basedOn w:val="Normalny"/>
    <w:qFormat/>
    <w:rsid w:val="00962C7B"/>
    <w:pPr>
      <w:ind w:left="720"/>
      <w:contextualSpacing/>
    </w:pPr>
  </w:style>
  <w:style w:type="paragraph" w:styleId="NormalnyWeb">
    <w:name w:val="Normal (Web)"/>
    <w:basedOn w:val="Normalny"/>
    <w:uiPriority w:val="99"/>
    <w:semiHidden/>
    <w:unhideWhenUsed/>
    <w:rsid w:val="0014390E"/>
    <w:rPr>
      <w:rFonts w:ascii="Times New Roman" w:hAnsi="Times New Roman" w:cs="Times New Roman"/>
      <w:sz w:val="24"/>
    </w:rPr>
  </w:style>
  <w:style w:type="paragraph" w:customStyle="1" w:styleId="western">
    <w:name w:val="western"/>
    <w:basedOn w:val="Normalny"/>
    <w:uiPriority w:val="99"/>
    <w:rsid w:val="0014390E"/>
    <w:pPr>
      <w:spacing w:before="100" w:beforeAutospacing="1" w:after="100" w:afterAutospacing="1" w:line="240" w:lineRule="auto"/>
    </w:pPr>
    <w:rPr>
      <w:rFonts w:ascii="Times New Roman" w:eastAsia="Times New Roman" w:hAnsi="Times New Roman" w:cs="Times New Roman"/>
      <w:color w:val="auto"/>
      <w:kern w:val="0"/>
      <w:sz w:val="24"/>
    </w:rPr>
  </w:style>
  <w:style w:type="character" w:styleId="Odwoaniedokomentarza">
    <w:name w:val="annotation reference"/>
    <w:basedOn w:val="Domylnaczcionkaakapitu"/>
    <w:uiPriority w:val="99"/>
    <w:semiHidden/>
    <w:unhideWhenUsed/>
    <w:rsid w:val="00F55079"/>
    <w:rPr>
      <w:sz w:val="16"/>
      <w:szCs w:val="16"/>
    </w:rPr>
  </w:style>
  <w:style w:type="paragraph" w:styleId="Tekstkomentarza">
    <w:name w:val="annotation text"/>
    <w:basedOn w:val="Normalny"/>
    <w:link w:val="TekstkomentarzaZnak"/>
    <w:uiPriority w:val="99"/>
    <w:unhideWhenUsed/>
    <w:rsid w:val="00F55079"/>
    <w:pPr>
      <w:spacing w:line="240" w:lineRule="auto"/>
    </w:pPr>
    <w:rPr>
      <w:sz w:val="20"/>
      <w:szCs w:val="20"/>
    </w:rPr>
  </w:style>
  <w:style w:type="character" w:customStyle="1" w:styleId="TekstkomentarzaZnak">
    <w:name w:val="Tekst komentarza Znak"/>
    <w:basedOn w:val="Domylnaczcionkaakapitu"/>
    <w:link w:val="Tekstkomentarza"/>
    <w:uiPriority w:val="99"/>
    <w:rsid w:val="00F55079"/>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F55079"/>
    <w:rPr>
      <w:b/>
      <w:bCs/>
    </w:rPr>
  </w:style>
  <w:style w:type="character" w:customStyle="1" w:styleId="TematkomentarzaZnak">
    <w:name w:val="Temat komentarza Znak"/>
    <w:basedOn w:val="TekstkomentarzaZnak"/>
    <w:link w:val="Tematkomentarza"/>
    <w:uiPriority w:val="99"/>
    <w:semiHidden/>
    <w:rsid w:val="00F55079"/>
    <w:rPr>
      <w:rFonts w:ascii="Calibri" w:eastAsia="Calibri" w:hAnsi="Calibri" w:cs="Calibri"/>
      <w:b/>
      <w:bCs/>
      <w:color w:val="000000"/>
      <w:sz w:val="20"/>
      <w:szCs w:val="20"/>
    </w:rPr>
  </w:style>
  <w:style w:type="paragraph" w:styleId="Poprawka">
    <w:name w:val="Revision"/>
    <w:hidden/>
    <w:uiPriority w:val="99"/>
    <w:semiHidden/>
    <w:rsid w:val="001B5EC4"/>
    <w:pPr>
      <w:spacing w:after="0" w:line="240" w:lineRule="auto"/>
    </w:pPr>
    <w:rPr>
      <w:rFonts w:ascii="Calibri" w:eastAsia="Calibri" w:hAnsi="Calibri" w:cs="Calibri"/>
      <w:color w:val="000000"/>
      <w:sz w:val="22"/>
    </w:rPr>
  </w:style>
  <w:style w:type="paragraph" w:styleId="Tekstdymka">
    <w:name w:val="Balloon Text"/>
    <w:basedOn w:val="Normalny"/>
    <w:link w:val="TekstdymkaZnak"/>
    <w:uiPriority w:val="99"/>
    <w:semiHidden/>
    <w:unhideWhenUsed/>
    <w:rsid w:val="00355BA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55BA9"/>
    <w:rPr>
      <w:rFonts w:ascii="Tahoma" w:eastAsia="Calibri"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gumil.laczynski@wp.pl" TargetMode="External"/><Relationship Id="rId13" Type="http://schemas.openxmlformats.org/officeDocument/2006/relationships/hyperlink" Target="https://sip.legalis.pl/document-view.seam?documentId=mfrxilrtg4ytmnbugqztkltqmfyc4njzgq3dsmzyhe" TargetMode="External"/><Relationship Id="rId18" Type="http://schemas.openxmlformats.org/officeDocument/2006/relationships/header" Target="header2.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galis.pl/document-view.seam?documentId=mfrxilrtg4ytmnbugqztkltqmfyc4njzgq3dsmjtg4" TargetMode="Externa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sip.legalis.pl/document-view.seam?documentId=mfrxilrtg4ytmnbugqzt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mnbugqztkltqmfyc4njzgq3dsmjsgm"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tg4ytmnbugqztkltqmfyc4njzgq3dsmryhe" TargetMode="External"/><Relationship Id="rId23" Type="http://schemas.microsoft.com/office/2016/09/relationships/commentsIds" Target="commentsIds.xml"/><Relationship Id="rId10" Type="http://schemas.openxmlformats.org/officeDocument/2006/relationships/hyperlink" Target="https://www.bip.kalisz.pl/uchwaly/2006_42_643.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osiedlekrajobrazowe.kalisz.pl" TargetMode="External"/><Relationship Id="rId14" Type="http://schemas.openxmlformats.org/officeDocument/2006/relationships/hyperlink" Target="https://sip.legalis.pl/document-view.seam?documentId=mfrxilrtg4ytmnbugqztkltqmfyc4njzgq3dsmzyhe" TargetMode="External"/><Relationship Id="rId22"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35747-B5FD-47C1-BFC8-E0DA5F5A5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9279</Words>
  <Characters>55677</Characters>
  <Application>Microsoft Office Word</Application>
  <DocSecurity>0</DocSecurity>
  <Lines>463</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Witkowski</dc:creator>
  <cp:keywords/>
  <cp:lastModifiedBy>User</cp:lastModifiedBy>
  <cp:revision>16</cp:revision>
  <dcterms:created xsi:type="dcterms:W3CDTF">2025-11-27T20:36:00Z</dcterms:created>
  <dcterms:modified xsi:type="dcterms:W3CDTF">2025-12-03T09:55:00Z</dcterms:modified>
</cp:coreProperties>
</file>